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w:t>
      </w:r>
    </w:p>
    <w:p>
      <w:r>
        <w:t>共 8,546 字符、348 个事实句。句级切块后索引约 344 个块。</w:t>
      </w:r>
    </w:p>
    <w:p>
      <w:r>
        <w:rPr>
          <w:b/>
        </w:rPr>
        <w:t>评测集</w:t>
      </w:r>
      <w:r>
        <w:t>：合成主集 500 条（问题由模型从原文生成、答案逐字取自原文并校验）；</w:t>
      </w:r>
    </w:p>
    <w:p>
      <w:r>
        <w:t>另有一个 200 条的改写型困难集（刻意改写措辞、拉大查询与原文的表面距离）用于压力测试。</w:t>
      </w:r>
    </w:p>
    <w:p>
      <w:r>
        <w:rPr>
          <w:b/>
        </w:rPr>
        <w:t>公开基准</w:t>
      </w:r>
      <w:r>
        <w:t>：LongBench 的 passage_retrieval_zh / passage_retrieval_en（段落级检索，</w:t>
      </w:r>
    </w:p>
    <w:p>
      <w:r>
        <w:t>答案是段落编号）、hotpotqa / 2wikimqa / musique（多跳生成）、triviaqa（常识型对照）。</w:t>
      </w:r>
    </w:p>
    <w:p>
      <w:r>
        <w:rPr>
          <w:b/>
        </w:rPr>
        <w:t>模型</w:t>
      </w:r>
      <w:r>
        <w:t>：主实验用 DeepSeek-V4.1-Flash（API）；模型无关性验证用本地部署的 Qwen3-4B</w:t>
      </w:r>
    </w:p>
    <w:p>
      <w:r>
        <w:t>（GGUF Q4_K_M，Ollama，/no_think 关闭思考链）。</w:t>
      </w:r>
    </w:p>
    <w:p>
      <w:r>
        <w:rPr>
          <w:b/>
        </w:rPr>
        <w:t>向量</w:t>
      </w:r>
      <w:r>
        <w:t>：BAAI/bge-m3（1024 维，OpenAI 兼容接口）；离线基线用确定性哈希向量。</w:t>
      </w:r>
    </w:p>
    <w:p>
      <w:r>
        <w:rPr>
          <w:b/>
        </w:rPr>
        <w:t>超参数</w:t>
      </w:r>
      <w:r>
        <w:t>：句级切块；上下文预算 300 token（另做 100–800 的扫描）；</w:t>
      </w:r>
    </w:p>
    <w:p>
      <w:r>
        <w:t>混合权重 $\alpha=0.2$；改写门控阈值 $\tau=0.25$；路由档位按每千 token 成本划分。</w:t>
      </w:r>
    </w:p>
    <w:p>
      <w:r>
        <w:rPr>
          <w:b/>
        </w:rPr>
        <w:t>成本口径</w:t>
      </w:r>
      <w:r>
        <w:t>：输入 2 元 / 输出 8 元 / embedding 0.7 元（每百万 token），</w:t>
      </w:r>
    </w:p>
    <w:p>
      <w:r>
        <w:t>按 API 返回的 usage 计费；嵌入的离线哈希向量成本记 0。</w:t>
      </w:r>
    </w:p>
    <w:p>
      <w:r>
        <w:rPr>
          <w:b/>
        </w:rPr>
        <w:t>统计</w:t>
      </w:r>
      <w:r>
        <w:t>：配对 bootstrap（1,000–2,000 次重采样）给出 95% 区间；</w:t>
      </w:r>
    </w:p>
    <w:p>
      <w:r>
        <w:t>系统间差异用 McNemar 精确检验；稳健性用 5 次 2/3 子采样。</w:t>
      </w:r>
    </w:p>
    <w:p>
      <w:r>
        <w:rPr>
          <w:b/>
        </w:rPr>
        <w:t>硬件</w:t>
      </w:r>
      <w:r>
        <w:t>：i7-13650HX / 16 GB 内存 / RTX 4060 Laptop 8 GB。API 模型走网络，</w:t>
      </w:r>
    </w:p>
    <w:p>
      <w:r>
        <w:t>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w:t>
      </w:r>
    </w:p>
    <w:p>
      <w:r>
        <w:t>简单问题只用一块上下文（约 20 token）即停，省下的预算留给需要混合检索与改写的难题，</w:t>
      </w:r>
    </w:p>
    <w:p>
      <w:r>
        <w:t>而不是让所有查询都走完整管线。相比之下，CRAG 近似对每条查询都付出一次评估调用与</w:t>
      </w:r>
    </w:p>
    <w:p>
      <w:r>
        <w:t>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w:t>
      </w:r>
    </w:p>
    <w:p>
      <w:r>
        <w:t>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w:t>
      </w:r>
    </w:p>
    <w:p>
      <w:r>
        <w:t>（同样预算下多装几句），超过 500 token 后固定块反超——单块上下文更连贯。这正是 4.1 节</w:t>
      </w:r>
    </w:p>
    <w:p>
      <w:r>
        <w:t>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w:t>
      </w:r>
    </w:p>
    <w:p>
      <w:r>
        <w:t>本节主张的是「跨语料不退化、相对提升方向一致」；绝对水平受任务难度影响，不作为比较口径。</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w:t>
      </w:r>
    </w:p>
    <w:p>
      <w:r>
        <w:t>修正为「上限随预算缩放」后重跑了 6.5 节的生成实验；仓库中保留回归测试（tests/test_longbench.py）</w:t>
      </w:r>
    </w:p>
    <w:p>
      <w:r>
        <w:t>防止该上限再次先于预算生效。这类「预算接口」需要有对应的断言，是本文实现过程中得到的教训。</w:t>
      </w:r>
    </w:p>
    <w:p>
      <w:r>
        <w:t>make test          # 42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