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Whether both indexes are built is a corpus-level decision: short-sentence corpora are dual-indexed, while English documentation is indexed with fixed blocks only (Section 6.9). When both exist, the per-query budget $ctx$ (in tokens, equal to $B$) selects sentence level for $ctx \le 500$ and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about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