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500 题合成集的前 200 题上，系统以 126 token 的平均上下文取得 0.960 召回，高于纠正式基线（0.925，179 token）与稠密检索（0.910，115 token）；差异在配对 bootstrap 与 McNemar 检验下显著，且经重复子采样仍成立。在 312 篇官方文档上，混合检索以 300 token 预算取得 0.910 召回，按难度自适应的规则以少 11%–20% 的 token 达到同等召回（bootstrap 95% CI [11.2%, 19.8%]）；在四个 BEIR 子集上，同一规则在同等 nDCG@10 下节省 1%–24% 上下文，并在一个人为构造的对抗子集上失效——这一点如实报告。最后，split conformal 一层把「召回目标」翻译成带覆盖保证的预算：20 条标注题即可让新问题以至少 1−α 的概率被覆盖，混合检索器上经验覆盖与名义值差距不超过 0.015、预算仅 120–276 token；对检索器达不到的目标显式拒绝，而不是许诺。</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p>
      <w:r>
        <w:rPr>
          <w:b/>
        </w:rPr>
        <w:t>表 1</w:t>
      </w:r>
      <w:r>
        <w:t>：代表性自适应检索路线与本文的对照。</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0.910 对 0.718）。是否建两套索引是</w:t>
      </w:r>
      <w:r>
        <w:rPr>
          <w:b/>
        </w:rPr>
        <w:t>语料级</w:t>
      </w:r>
      <w:r>
        <w:t>决定：短句语料建双索引，英文文档只建固定块（6.9 节）。两者都可用时，由逐题预算 ctx（单位 token，等于 B）决定：ctx ≤ 500 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若动作可按成本递增排序、且每个动作的收益随置信度单调递减，则最优策略是「置信度落在某段区间就走对应档位」，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p>
      <w:r>
        <w:rPr>
          <w:b/>
        </w:rPr>
        <w:t>表 2</w:t>
      </w:r>
      <w:r>
        <w:t>：受控合成基准上的主结果（500 题、800 token 预算）。</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p>
      <w:r>
        <w:rPr>
          <w:b/>
        </w:rPr>
        <w:t>表 3</w:t>
      </w:r>
      <w:r>
        <w:t>：五个 2/3 子采样的稳定性。</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p>
      <w:r>
        <w:rPr>
          <w:b/>
        </w:rPr>
        <w:t>表 4</w:t>
      </w:r>
      <w:r>
        <w:t>：消融：逐个去掉组件。</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p>
      <w:r>
        <w:rPr>
          <w:b/>
        </w:rPr>
        <w:t>表 5</w:t>
      </w:r>
      <w:r>
        <w:t>：检索收益的跨数据集、跨模型验证（Qwen3-4B，800 token 预算）。</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p>
      <w:r>
        <w:rPr>
          <w:b/>
        </w:rPr>
        <w:t>表 6</w:t>
      </w:r>
      <w:r>
        <w:t>：端到端效率（关闭答案缓存，20 条查询）。</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p>
      <w:r>
        <w:rPr>
          <w:b/>
        </w:rPr>
        <w:t>表 7</w:t>
      </w:r>
      <w:r>
        <w:t>：内部基准：301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t xml:space="preserve">在 301 题上做配对 bootstrap：召回差为 −0.003（95% CI [−0.020, +0.010]，p = 0.81）， token 节省 </w:t>
      </w:r>
      <w:r>
        <w:rPr>
          <w:b/>
        </w:rPr>
        <w:t>15.5%</w:t>
      </w:r>
      <w:r>
        <w:t>（95% CI [11.2%, 19.8%]）——质量与固定 k=8 统计上不可区分，而上下文少用 11%–20%。</w:t>
      </w:r>
    </w:p>
    <w:p>
      <w:r>
        <w:rPr>
          <w:b/>
        </w:rPr>
        <w:t>BEIR（公开口径，文档级）</w:t>
      </w:r>
    </w:p>
    <w:p>
      <w:r>
        <w:t>四个 BEIR 子集走同一条流水线（bge-m3 向量、混合 α=0.2、块大小 200），以固定 k=8 为参照； 自适应配置取「nDCG@10 与参照相差不超过 0.002 的最省 token 配置」，查询全用、不做抽样。</w:t>
      </w:r>
    </w:p>
    <w:p>
      <w:r>
        <w:rPr>
          <w:b/>
        </w:rPr>
        <w:t>表 8</w:t>
      </w:r>
      <w:r>
        <w:t>：BEIR 四个子集（全查询，固定 k=8 为参照）。</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289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0.718 对固定块 0.910，</w:t>
      </w:r>
    </w:p>
    <w:p>
      <w:r>
        <w:t>门控改写 0.874 对 0.910——两者都不成立，原结论必须限定到「中文短句、问题与文档措辞差距大」的场景。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p>
      <w:r>
        <w:rPr>
          <w:b/>
        </w:rPr>
        <w:t>表 9</w:t>
      </w:r>
      <w:r>
        <w:t>：保形校准：三个目标与两个较弱检索器上的覆盖。</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token）明显低于固定 k=8 的 289 token；不过后者是文档级召回 0.904，与答案片段覆盖不是同一指标，因此这一比较只作参考，不构成「同召回更省」的结论。</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0.046 以内：0.95→0.922、0.90→0.891、0.85→0.865、0.80→0.810、0.75→0.754、 0.70→0.699、0.60→0.646、0.50→0.524（图 5）。唯一的系统性差距在最远端：名义 0.95 时有 28% 的标定样本 根本达不到目标，协议选择</w:t>
      </w:r>
      <w:r>
        <w:rPr>
          <w:b/>
        </w:rPr>
        <w:t>拒绝</w:t>
      </w:r>
      <w:r>
        <w:t>而不是给出一个覆盖不足的预算；在能给出预算的样本里，中位预算是 664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16–74 ms 的差异 不足以撼动延迟预算。 把 6.16 的官方分类器也算进来，各策略的运行点如下：</w:t>
      </w:r>
    </w:p>
    <w:p>
      <w:r>
        <w:rPr>
          <w:b/>
        </w:rPr>
        <w:t>表 10</w:t>
      </w:r>
      <w:r>
        <w:t>：所有策略的运行点，含 6.16 节的官方分类器。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混合检索（预算 300）</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p>
      <w:r>
        <w:rPr>
          <w:b/>
        </w:rPr>
        <w:t>表 11</w:t>
      </w:r>
      <w:r>
        <w:t>：官方复杂度分类器在 301 题上的路由结果。</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固定 k=8（混合）</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p>
      <w:r>
        <w:rPr>
          <w:b/>
        </w:rPr>
        <w:t>表 12</w:t>
      </w:r>
      <w:r>
        <w:t>：逐题阈值扫描（内部基准）：召回、token 与相对固定 k=8 的节省。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r>
        <w:t>同一条规则搬到 BEIR scifact 上同样失效：δ=0.02 的 nDCG@10 为 0.6827、用 1818 token （省 30%，但比固定 k=8 低 2.4 个点）；δ=0.03 为 0.6895、2271 token（省 13%）；而固定 k=8 是 0.7071、2615 token。全局阈值则把 nDCG@10 保持在 0.7062，同时省 24%。 所以「单题断崖」这个信号在内部评测和公开基准上都不能替代全局间隔阈值。</w:t>
      </w:r>
    </w:p>
    <w:p>
      <w:pPr>
        <w:pStyle w:val="Heading2"/>
      </w:pPr>
      <w:r>
        <w:t>6.18 间隔是不是充分统计量？一个经验检验</w:t>
      </w:r>
    </w:p>
    <w:p>
      <w:r>
        <w:t>6.6 节的阈值规则把 γ 当作难度信号，但没有说明</w:t>
      </w:r>
      <w:r>
        <w:rPr>
          <w:b/>
        </w:rPr>
        <w:t>为什么</w:t>
      </w:r>
      <w:r>
        <w:t>它管用。它需要的假设是： 随着 γ 增大，多取一块的边际价值递减——有把握的题加深几乎无收益，没把握的题收益最大。 这是关于分数分布的一个断言，可以在证明之前先检验。</w:t>
      </w:r>
    </w:p>
    <w:p>
      <w:r>
        <w:t>把 301 题按 γ 四分位分箱，比较同一箱内 k=4 与 k=10 的召回。</w:t>
      </w:r>
    </w:p>
    <w:p>
      <w:r>
        <w:rPr>
          <w:b/>
        </w:rPr>
        <w:t>表 13</w:t>
      </w:r>
      <w:r>
        <w:t>：按间隔四分位的边际收益：各箱内 k=4 与 k=10 的召回。</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γ 四分位</w:t>
            </w:r>
          </w:p>
        </w:tc>
        <w:tc>
          <w:tcPr>
            <w:tcW w:type="dxa" w:w="1728"/>
          </w:tcPr>
          <w:p>
            <w:r>
              <w:rPr>
                <w:b/>
                <w:sz w:val="18"/>
              </w:rPr>
            </w:r>
            <w:r>
              <w:rPr>
                <w:b/>
                <w:sz w:val="18"/>
              </w:rPr>
              <w:t>n</w:t>
            </w:r>
          </w:p>
        </w:tc>
        <w:tc>
          <w:tcPr>
            <w:tcW w:type="dxa" w:w="1728"/>
          </w:tcPr>
          <w:p>
            <w:r>
              <w:rPr>
                <w:b/>
                <w:sz w:val="18"/>
              </w:rPr>
            </w:r>
            <w:r>
              <w:rPr>
                <w:b/>
                <w:sz w:val="18"/>
              </w:rPr>
              <w:t>k=4 召回</w:t>
            </w:r>
          </w:p>
        </w:tc>
        <w:tc>
          <w:tcPr>
            <w:tcW w:type="dxa" w:w="1728"/>
          </w:tcPr>
          <w:p>
            <w:r>
              <w:rPr>
                <w:b/>
                <w:sz w:val="18"/>
              </w:rPr>
            </w:r>
            <w:r>
              <w:rPr>
                <w:b/>
                <w:sz w:val="18"/>
              </w:rPr>
              <w:t>k=10 召回</w:t>
            </w:r>
          </w:p>
        </w:tc>
        <w:tc>
          <w:tcPr>
            <w:tcW w:type="dxa" w:w="1728"/>
          </w:tcPr>
          <w:p>
            <w:r>
              <w:rPr>
                <w:b/>
                <w:sz w:val="18"/>
              </w:rPr>
            </w:r>
            <w:r>
              <w:rPr>
                <w:b/>
                <w:sz w:val="18"/>
              </w:rPr>
              <w:t>Δ(10−4)</w:t>
            </w:r>
          </w:p>
        </w:tc>
      </w:tr>
      <w:tr>
        <w:tc>
          <w:tcPr>
            <w:tcW w:type="dxa" w:w="1728"/>
          </w:tcPr>
          <w:p>
            <w:r>
              <w:rPr>
                <w:sz w:val="18"/>
              </w:rPr>
            </w:r>
            <w:r>
              <w:rPr>
                <w:sz w:val="18"/>
              </w:rPr>
              <w:t>Q1（γ ≤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Q4（γ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 xml:space="preserve">边际收益随 γ </w:t>
      </w:r>
      <w:r>
        <w:rPr>
          <w:b/>
        </w:rPr>
        <w:t>单调递减</w:t>
      </w:r>
      <w:r>
        <w:t>：0.093、0.067、0.013、0.013。被间隔判为有把握的题，再多取六块 几乎啥也不涨；被判为没把握的题，涨得最多。阈值规则的经验前提在本语料上成立。</w:t>
      </w:r>
    </w:p>
    <w:p>
      <w:r>
        <w:t>但要说清楚它证明了什么、没证明什么。它</w:t>
      </w:r>
      <w:r>
        <w:rPr>
          <w:b/>
        </w:rPr>
        <w:t>没有</w:t>
      </w:r>
      <w:r>
        <w:t>证明 γ 是充分统计量：一个统计量可以在箱内 预测平均收益，却排不出箱内顺序；也解释不了 6.9 节那个对抗语料上关系反转的反例。它说明的是： 阈值背后的假设</w:t>
      </w:r>
      <w:r>
        <w:rPr>
          <w:b/>
        </w:rPr>
        <w:t>不是空谈</w:t>
      </w:r>
      <w:r>
        <w:t>，强度大致就是想象的那个形状，而一个形式化处理——从 Plackett–Luce 或指数族模型推出边际价值、再给阈值规则的次优性一个界——</w:t>
      </w:r>
      <w:r>
        <w:rPr>
          <w:b/>
        </w:rPr>
        <w:t>有一个可被数据证伪的目标</w:t>
      </w:r>
      <w:r>
        <w:t>。</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289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9 结论</w:t>
      </w:r>
    </w:p>
    <w:p>
      <w:r>
        <w:t>本文把检索深度选择表述为「带预算的子模最大化」：给每个动作标价（多取一块、切混合检索、改写查询、加第二跳）， 在预算下按边际收益排序选取。由此得到两条可实现的推论：改写门限由预算的影子价格决定， 最优级联是一条置信阈值链。受控基准上系统以 126 token 取得 0.960 召回；在 312 篇官方文档上， 300 token 预算取得 0.910 召回，与固定深度在统计上不可区分而上下文省 11%–20%；四个 BEIR 子集上 同等 nDCG@10 下省 1%–24%，并在一个人为构造的对抗子集上失效——这一点如实报告。split conformal 一层 把「召回目标」翻译成带覆盖保证的预算，并对检索器达不到的目标显式拒绝。</w:t>
      </w:r>
    </w:p>
    <w:p>
      <w:r>
        <w:t>本文也写清了间隔何时可信：高把握区且尾部不相对变厚（附录 D），两个反例分别标出每条假设的必要性。 更一般的结论是：上下文预算更适合当作</w:t>
      </w:r>
      <w:r>
        <w:rPr>
          <w:b/>
        </w:rPr>
        <w:t>接口</w:t>
      </w:r>
      <w:r>
        <w:t>而不是超参数——给定目标与二十条标注题， 系统可以证明它承诺的东西，也可以在不能时说出来。</w:t>
      </w:r>
    </w:p>
    <w:p>
      <w:pPr>
        <w:pStyle w:val="Heading1"/>
      </w:pPr>
      <w:r>
        <w:t>附录 A 负结果</w:t>
      </w:r>
    </w:p>
    <w:p>
      <w:r>
        <w:t>负结果集中放在这里，用来界定主结论的下界。伪相关反馈（PRF）在句级与固定块上分别掉 1.6 pt 与 19.6 pt；查询漂移是一种可能解释，但实验未将其隔离。第 0 级「不检索直接答」在技术语料上不可行， contain 只有 0.11。预算 200 时贪心比暴力最优低 6 pt：方向与收益递减一致，但命题 1 的界并不预测 单个差距的大小。</w:t>
      </w:r>
    </w:p>
    <w:p>
      <w:r>
        <w:t>学习型路由器是最有信息量的负结果，因为它常被当作「更讲原理」的替代方案。500 题基准上，TF-IDF 与 BERT 分类器的分类准确率为 0.730 与 0.702。准确率与门控的检索召回不可直接比较，因此我们又把它们 当作路由策略在同一批题上运行：召回 0.744 与 0.712，平均约 25–30 token；同一批题上分数门控为 0.948 召回、175 token。路由器便宜一个数量级、召回也明显更低，两种运行点同时变了信号来源与预算， 本对比不能把差异单独归因于信号来源。</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75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本文按同一原则在自有评测集上生成标签：把「能召回答案的最小动作」记为复杂度档（1 块 / 混合 5 块 / 需改写），无任何动作能召回的题记为第四类。500 题基准上的分布为 353 / 101 / 25 / 21，并训练 TF-IDF 与 BERT 两个分类器，四分类准确率为 0.730 / 0.702。构造原则相同，但标签定义与判别任务并不与原版 完全相同，本文不宣称二者等价。</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这一层复现能说明什么、不能说明什么</w:t>
      </w:r>
      <w:r>
        <w:t>：路由器分类准确率为 0.730 / 0.702，作为路由策略的召回为 0.744 / 0.712（约 25–30 token）；同一批题上分数门控为 0.948 召回、175 token。路由器便宜一个数量级 而召回明显更低，比较同时变了信号来源与运行点，不能据此单独断言差距来自信号来源；换成原版 T5-large 会改变分类器准确率，其对结论的影响尚未测试。</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w:t>
      </w:r>
    </w:p>
    <w:p>
      <w:r>
        <w:rPr>
          <w:b/>
        </w:rPr>
        <w:t>Data Availability Statement.</w:t>
      </w:r>
      <w:r>
        <w:t xml:space="preserve"> 全部代码、评测集与实验脚本位于 https://github.com/mylgtab/budget-rag （MIT 许可，v1.1.0）。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p>
      <w:pPr>
        <w:pStyle w:val="Heading1"/>
      </w:pPr>
      <w:r>
        <w:t>附录 D 为什么间隔能预测边际收益递减</w:t>
      </w:r>
    </w:p>
    <w:p>
      <w:r>
        <w:t>6.18 节用实验表明：多取一块的边际价值随间隔递减。本附录给出这条关系可被证明的条件， 并用两个反例说明每个条件都不可省。我们只完整证明两块（k = 1）的情形；一般情形作为猜想给出， 并以 6.18 节的测量作为数值支持。</w:t>
      </w:r>
    </w:p>
    <w:p>
      <w:r>
        <w:rPr>
          <w:b/>
        </w:rPr>
        <w:t>D.1 记号。</w:t>
      </w:r>
      <w:r>
        <w:t xml:space="preserve"> 沿用 6.6 节：p_i 为「已知前 i−1 块都没有答案时，第 i 块含答案」的条件概率； Q(S_k) = P(E_k)；Δ_k = Q(S_{k+1}) − Q(S_k)；γ = (s_1 − s_2)/s_1。</w:t>
      </w:r>
    </w:p>
    <w:p>
      <w:r>
        <w:rPr>
          <w:b/>
        </w:rPr>
        <w:t>引理 D.1。</w:t>
      </w:r>
      <w:r>
        <w:t xml:space="preserve"> 在 6.6 节的独立性假设下，Q(S_k) = 1 − ∏_{i≤k}(1−p_i)，且 Δ_k = (1 − Q(S_k)) · p_{k+1}。</w:t>
      </w:r>
    </w:p>
    <w:p>
      <w:r>
        <w:t>*证明*：由独立性，1 − Q(S_k) = P(答案不在前 k 块) = ∏_{i≤k}(1−p_i)； 两式相减得 ∏_{i≤k}(1−p_i) · p_{k+1}。∎</w:t>
      </w:r>
    </w:p>
    <w:p>
      <w:r>
        <w:t>系数是 1−Q 而不是 Q：增益只能来自尚未覆盖的那部分。</w:t>
      </w:r>
    </w:p>
    <w:p>
      <w:r>
        <w:rPr>
          <w:b/>
        </w:rPr>
        <w:t>引理 D.2。</w:t>
      </w:r>
      <w:r>
        <w:t xml:space="preserve"> 若 p_1 ≥ p_2 ≥ … ≥ p_K，则对固定的一道题，Δ_k 随 k 递减。</w:t>
      </w:r>
    </w:p>
    <w:p>
      <w:r>
        <w:t>*证明*：Δ_{k+1} = ∏_{i≤k+1}(1−p_i)·p_{k+2} ≤ ∏_{i≤k}(1−p_i)·p_{k+1} = Δ_k， 因为 1−p_{k+1} ≤ 1 且 p_{k+2} ≤ p_{k+1}。∎</w:t>
      </w:r>
    </w:p>
    <w:p>
      <w:r>
        <w:rPr>
          <w:b/>
        </w:rPr>
        <w:t>D.2 跨题定理（k = 1）。</w:t>
      </w:r>
      <w:r>
        <w:t xml:space="preserve"> 记 Δ_1 = (1−p_1)·p_2 = ρ·p_1(1−p_1)，其中 ρ := p_2/p_1。 结论需要的不只是 p_1 变大。</w:t>
      </w:r>
    </w:p>
    <w:p>
      <w:r>
        <w:t>*假设*：（M1）分数排序即效用排序；（M2）条件命中概率随名次递减，p_1 ≥ p_2 ≥ … ≥ p_K；（M3）存在单调递增 g 使 p_1 = g(γ)；（H1）p_1 ≥ 1/2；（H2）ρ 关于 p_1 单调不增。</w:t>
      </w:r>
    </w:p>
    <w:p>
      <w:r>
        <w:t>*定理*：在 M1、M3、H1、H2 下，Δ_1 关于 γ 单调不增（M2 在 k=1 时不需要，用于引理 D.2）。</w:t>
      </w:r>
    </w:p>
    <w:p>
      <w:r>
        <w:t>*证明*：取两道题 q、q'，使 p_1(q) ≤ p_1(q') 且两者 ≥ 1/2。由 H2 得 ρ(q') ≤ ρ(q)。 令 h(p) = p(1−p)，则 Δ_1(q') − Δ_1(q) = ρ(q')h(p_1(q')) − ρ(q)h(p_1(q)) ≤ ρ(q)[h(p_1(q')) − h(p_1(q))]， 因为 ρ(q') ≤ ρ(q) 且 ρ ≥ 0。又 h'(p) = 1−2p ≤ 0 在 [1/2,1] 上成立， 故 h(p_1(q')) ≤ h(p_1(q))，差 ≤ 0。再由 M3（γ 大 ⇒ p_1 大）得 Δ_1 关于 γ 不增。∎</w:t>
      </w:r>
    </w:p>
    <w:p>
      <w:r>
        <w:rPr>
          <w:b/>
        </w:rPr>
        <w:t>D.3 反例 1：M1 + M3 不够。</w:t>
      </w:r>
      <w:r>
        <w:t xml:space="preserve"> 取 p_i ≡ θ（常数），则 ρ = 1、Δ_1 = θ(1−θ)， 故 dΔ_1/dθ = 1−2θ。当 θ &lt; 1/2 时，把握度越高边际收益反而越大，与定理相反。 这就是 H1（高把握区）不可省的原因。注意此例不满足 A2，因此它只说明 M1+M3 不足。</w:t>
      </w:r>
    </w:p>
    <w:p>
      <w:r>
        <w:rPr>
          <w:b/>
        </w:rPr>
        <w:t>D.4 反例 2：H2 是本质条件。</w:t>
      </w:r>
      <w:r>
        <w:t xml:space="preserve"> 取 p_1 = θ、p_2 = θ²，其余 p_i = 0。此时 M1、M2（θ² ≤ θ）、M3 与 H1（取 θ ∈ [1/2, 2/3)）都成立，但 Δ_1 = (1−θ)θ²、dΔ_1/dθ = θ(2−3θ) &gt; 0（θ &lt; 2/3），结论不成立。 </w:t>
      </w:r>
      <w:r>
        <w:rPr>
          <w:b/>
        </w:rPr>
        <w:t>除 H2 外的全部假设都满足，结论仍然失败</w:t>
      </w:r>
      <w:r>
        <w:t>：H2 不是补丁，而是必要条件； 它也恰好是 6.9 节对抗语料所破坏的那条。</w:t>
      </w:r>
    </w:p>
    <w:p>
      <w:r>
        <w:rPr>
          <w:b/>
        </w:rPr>
        <w:t>D.5 一般情形（k ≥ 2）。</w:t>
      </w:r>
      <w:r>
        <w:t xml:space="preserve"> 猜想：若对每个 j，比值 ρ_j := p_{j+1}/p_j 关于 p_1 单调不增， 且 p_1 ≥ 1/2，则 Δ_k 关于 γ 单调不增，对一切 k。6.18 节给出了数值支持 （边际收益按 γ 四分位为 0.093 → 0.067 → 0.013 → 0.013），但本文不声称证明： 完整处理需要控制各 ρ_j 的联合行为，这是两块论证覆盖不到的。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