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1" name="Picture 1"/>
            <wp:cNvGraphicFramePr>
              <a:graphicFrameLocks noChangeAspect="1"/>
            </wp:cNvGraphicFramePr>
            <a:graphic>
              <a:graphicData uri="http://schemas.openxmlformats.org/drawingml/2006/picture">
                <pic:pic>
                  <pic:nvPicPr>
                    <pic:cNvPr id="0" name="fig2-budget-recall.png"/>
                    <pic:cNvPicPr/>
                  </pic:nvPicPr>
                  <pic:blipFill>
                    <a:blip r:embed="rId9"/>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2" name="Picture 2"/>
            <wp:cNvGraphicFramePr>
              <a:graphicFrameLocks noChangeAspect="1"/>
            </wp:cNvGraphicFramePr>
            <a:graphic>
              <a:graphicData uri="http://schemas.openxmlformats.org/drawingml/2006/picture">
                <pic:pic>
                  <pic:nvPicPr>
                    <pic:cNvPr id="0" name="fig3-ablation.png"/>
                    <pic:cNvPicPr/>
                  </pic:nvPicPr>
                  <pic:blipFill>
                    <a:blip r:embed="rId10"/>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3" name="Picture 3"/>
            <wp:cNvGraphicFramePr>
              <a:graphicFrameLocks noChangeAspect="1"/>
            </wp:cNvGraphicFramePr>
            <a:graphic>
              <a:graphicData uri="http://schemas.openxmlformats.org/drawingml/2006/picture">
                <pic:pic>
                  <pic:nvPicPr>
                    <pic:cNvPr id="0" name="fig5-conformal.png"/>
                    <pic:cNvPicPr/>
                  </pic:nvPicPr>
                  <pic:blipFill>
                    <a:blip r:embed="rId11"/>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