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combines sparse BM25 scoring [2] with dense bi-encoder retrieval [3].</w:t>
      </w:r>
    </w:p>
    <w:p>
      <w:pPr>
        <w:pStyle w:val="Heading2"/>
      </w:pPr>
      <w:r>
        <w:t>4.1 Dual Index and Budgeted Chunk Selection</w:t>
      </w:r>
    </w:p>
    <w:p>
      <w:r>
        <w:t>Long documents are indexed at two granularities (Figure 1). Sentence-level chunks are split on punctuation and contain roughly 15-40 tokens. Fixed blocks use a sliding 200-token window with a 40-token overlap by default. Sentence-level indexing keeps unrelated sentences out of a retrieved chunk, which benefits short-sentence corpora such as the Chinese technical notes in Section 6.2; fixed blocks preserve a coherent window and perform better on English documentation, reaching 0.910 versus 0.718 at a 300-token budget (Section 6.9). Whether both indexes are built is therefore a corpus-level decision: short-sentence corpora are dual-indexed, while English documentation is indexed with fixed blocks only. When both exist, the per-query budget $ctx$ (in tokens, equal to $B$) selects sentence level for $ctx \le 500$ and fixed blocks otherwise.</w:t>
      </w:r>
    </w:p>
    <w:p>
      <w:r>
        <w:t>Chunks are added in descending retrieval-score order until the selected chunks reach the token budget $B$, without imposing a fixed top-$k$ cutoff. Section 6.9 qualifies this design: on real corpora the truncation behaves like a well-chosen fixed $k$, and an operational difference appears only when retrieval depth is chosen per query from the score margin.</w:t>
      </w:r>
    </w:p>
    <w:p>
      <w:pPr>
        <w:pStyle w:val="Heading2"/>
      </w:pPr>
      <w:r>
        <w:t>4.2 Cascade Routing</w:t>
      </w:r>
    </w:p>
    <w:p>
      <w:r>
        <w:t>Routing has three tiers, defined by the admissible cost per thousand tokens. Very tight budgets (&lt; 0.002 CNY) select one BM25 chunk, medium budgets (0.002-0.01 CNY) select two, and generous budgets ($\ge$ 0.01 CNY) select five chunks from hybrid retrieval. These tiers discretize the greedy allocation of Proposition 1 and correspond to the knee of the gain-per-cost curve.</w:t>
      </w:r>
    </w:p>
    <w:p>
      <w:pPr>
        <w:pStyle w:val="Heading2"/>
      </w:pPr>
      <w:r>
        <w:t>4.3 Confidence-Gated Query Rewriting</w:t>
      </w:r>
    </w:p>
    <w:p>
      <w:r>
        <w:t>Because rewriting accounts for about half of end-to-end latency (Section 6.8), we invoke it only when needed. An initial low-cost retrieval provides the relative margin between the top two scores,</w:t>
      </w:r>
    </w:p>
    <w:p>
      <w:pPr>
        <w:jc w:val="center"/>
      </w:pPr>
      <w:r>
        <w:rPr>
          <w:i/>
        </w:rPr>
        <w:t>\gamma = \frac{s_1 - s_2}{s_1}.</w:t>
      </w:r>
    </w:p>
    <w:p>
      <w:r>
        <w:t>When $\gamma &lt; \tau$ the retrieval is treated as uncertain: the query is rewritten and retrieval is repeated with "original question + rewrite terms". The shadow price of the budget determines the optimal threshold (Proposition 2); the default $\tau = 0.25$ corresponds to pricing a rewrite at about one strong retrieval. Section 6.7 confirms that $\tau$ falls as the unit price rises.</w:t>
      </w:r>
    </w:p>
    <w:p>
      <w:pPr>
        <w:pStyle w:val="Heading2"/>
      </w:pPr>
      <w:r>
        <w:t>4.4 Multi-Hop Extension</w:t>
      </w:r>
    </w:p>
    <w:p>
      <w:r>
        <w:t>For questions that need two pieces of evidence, a second retrieval hop is added. After the first hop, the model receives the question plus a summary of the retrieved material and identifies what is still missing; the second hop then searches for "original question + supplementary query", and the two result sets are merged with chunk-level deduplication. The supplementary query is model-generated rather than extracted by a fixed rule, so it can name the missing entity directly.</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t>This section states four consequences of the formulation in Section 3. Propositions 1 and 4 are proved below; Propositions 2 and 3 follow from the shadow-price view and are used operationally in Sections 4.2-4.3.</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and measure the gap to the brute-force optimum in Appendix A.</w:t>
      </w:r>
    </w:p>
    <w:p>
      <w:r>
        <w:rPr>
          <w:b/>
        </w:rPr>
        <w:t>Proposition 2 (rewriting gate).</w:t>
      </w:r>
      <w:r>
        <w:t xml:space="preserve"> Let $q_0$ and $q_1$ be the quality without and with rewriting, $p$ the probability that rewriting helps, and $c_r$ its cost. Rewriting pays off exactly when $p(q_1 - q_0) &gt; \lambda c_r$, where $\lambda$ is the shadow price of the budget. Equivalently, rewriting is triggered below a confidence threshold that is solved from $\lambda$ rather than fixed at 0.25 (Section 4.3).</w:t>
      </w:r>
    </w:p>
    <w:p>
      <w:r>
        <w:rPr>
          <w:b/>
        </w:rPr>
        <w:t>Proposition 3 (cascade threshold chain).</w:t>
      </w:r>
      <w:r>
        <w:t xml:space="preserve"> Suppose the actions can be ordered by increasing cost, and that the gain of each action decreases monotonically with confidence. Then the optimal policy assigns each confidence interval to one tier -- a threshold chain -- 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 = p(\gamma)\Delta q(\gamma)$ is non-increasing in the retrieval confidence $\gamma$. Then the optimal threshold satisfies $B(\tau^*) = \lambda c_r$, and $\tau^*(\lambda)$ is non-increasing in $\lambda$.</w:t>
      </w:r>
    </w:p>
    <w:p>
      <w:r>
        <w:t>*Proof.* By Proposition 2 the criterion for rewriting is $B(\gamma) &gt; \lambda c_r$. A3 makes $B$ non-increasing, so the confidences that satisfy the criterion form an interval $[0, \tau^*)$. As $\lambda$ grows, the right-hand side $\lambda c_r$ grows, the feasible set shrinks, and $\tau^*$ therefore does not increase. At the boundaries, $\lambda c_r \ge B(0)$ gives $\tau^* = 0$ (never rewrite) and $\lambda c_r \le B(1)$ gives $\tau^* = 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across token budgets of 80-800 tokens, on the short-sentence synthetic corpus, for sentence-level chunks and fixed blocks. Sentence-level chunks lead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and the corpus consists of twenty-odd distractor passages, with an 800-token budget covering about 11% of it. Whether retrieval caused the decline, or which property of the corpus did, is not identified here; the effect itself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On 200 doubly-annotated items, automatic containment agrees with human judgement 90%–97% of the time, and inter-annotator agreement is 0.548 (unweighted) and 0.673 (quadratic weighted). Agreement alone does not establish the direction of the errors: in our sample the automatic metric misses some valid answers, which suggests the reported recall is conservative, but we do not claim a proven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 The budget-300 row averages 318 tokens because the final chunk can overshoot the cap; budgets are upper bounds, not exact counts.</w:t>
      </w:r>
    </w:p>
    <w:p>
      <w:r>
        <w:rPr>
          <w:b/>
        </w:rPr>
        <w:t>BEIR (public protocol, document level)</w:t>
      </w:r>
    </w:p>
    <w:p>
      <w:r>
        <w:t>We run four BEIR subsets through the same pipeline (bge-m3 embeddings, hybrid alpha = 0.2, chunk size 200) and use fixed k = 8 as the reference; the adaptive configuration is the cheapest one whose nDCG@10 does not fall more than 0.002 below that baseline (it may exceed it).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within noise as budget-300 truncation (0.904 versus 0.910 at 289 versus 318 tokens), so the difference comes from deciding how many chunks each query needs, not from stopping at a token count. Third, </w:t>
      </w:r>
      <w:r>
        <w:rPr>
          <w:b/>
        </w:rPr>
        <w:t>sentence-level indexing and gated rewriting do not transfer</w:t>
      </w:r>
      <w:r>
        <w:t>: on English documentation, at the same 300-token budget, document-level recall of the sentence index is 0.718 against 0.910 for fixed blocks, and that of gated rewriting is 0.874,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specify a desired answer-span recall, not a token budget. Split-conformal calibration maps a target recall $T$ to a token budget using $N = 20$ labelled questions. For each calibration question we record the minimum budget at which its answer span enters the context, and set the budget to the $\lceil (N+1)(1-\alpha) \rceil$-th smallest recorded value, with $\alpha = 1 - T$. If the selected order statistic is infinite, the protocol reports the target as unreachable rather than returning a finite budget.</w:t>
      </w:r>
    </w:p>
    <w:p>
      <w:r>
        <w:t>Under exchangeability of calibration and test questions the procedure gives a finite-sample marginal guarantee of at least $T$ for answer-span coverage. The guarantee is marginal over calibration and test draws, not conditional on returning a finite budget or avoiding refusal. We evaluate it with 100 random splits that separate calibration from evaluation questions.</w:t>
      </w:r>
    </w:p>
    <w:p>
      <w:r>
        <w:rPr>
          <w:b/>
        </w:rPr>
        <w:t>Table 9.</w:t>
      </w:r>
      <w:r>
        <w:t xml:space="preserve"> Split-conformal calibration across the tested targets: median token budgets, empirical and nominal coverage, and the empirical-minus-nominal gap for three retrievers.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Median token budget</w:t>
            </w:r>
          </w:p>
        </w:tc>
        <w:tc>
          <w:tcPr>
            <w:tcW w:type="dxa" w:w="1440"/>
          </w:tcPr>
          <w:p>
            <w:r>
              <w:rPr>
                <w:b/>
                <w:sz w:val="18"/>
              </w:rPr>
            </w:r>
            <w:r>
              <w:rPr>
                <w:b/>
                <w:sz w:val="18"/>
              </w:rPr>
              <w:t>Empirical coverage</w:t>
            </w:r>
          </w:p>
        </w:tc>
        <w:tc>
          <w:tcPr>
            <w:tcW w:type="dxa" w:w="1440"/>
          </w:tcPr>
          <w:p>
            <w:r>
              <w:rPr>
                <w:b/>
                <w:sz w:val="18"/>
              </w:rPr>
            </w:r>
            <w:r>
              <w:rPr>
                <w:b/>
                <w:sz w:val="18"/>
              </w:rPr>
              <w:t>Nominal coverage</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On the hybrid retriever, empirical coverage at the three targets is within 0.015 of nominal, and the calibrated median budgets range from 120 to 276 tokens. Fixed $k = 8$ averages 289 tokens at a document-level recall of 0.904; that is a different metric from answer-span coverage, so the comparison is indicative rather than a same-recall budget advantage.</w:t>
      </w:r>
    </w:p>
    <w:p>
      <w:r>
        <w:t>Observed coverage varies by retriever. At target 0.90 the gap is $-0.020$ for dense bge-large-en and $-0.052$ for BM25, and BM25 returns refusals in 55% of cases at that target. This supports retriever-specific recalibration and explicit reporting of refusals rather than a single calibration for all retrievers.</w:t>
      </w:r>
    </w:p>
    <w:p>
      <w:r>
        <w:t>The saturating-curve variant with a safety margin reaches a similar reach rate but needs a hand-tuned margin and gives no finite-sample guarantee, so the split-conformal form is preferred.</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r>
        <w:t>Across the sweep, the maximum absolute difference between nominal and empirical coverage is 0.046 (Figure 5): 0.95 gives 0.922, 0.90 gives 0.891, 0.85 gives 0.865, 0.80 gives 0.810, 0.75 gives 0.754, 0.70 gives 0.699, 0.60 gives 0.646, and 0.50 gives 0.524. At nominal 0.95 the target is unreachable in 28% of calibration samples, which triggers refusal; among the samples that return a finite budget, the median is 664 tokens.</w:t>
      </w:r>
    </w:p>
    <w:p>
      <w:pPr>
        <w:jc w:val="center"/>
      </w:pPr>
      <w:r>
        <w:drawing>
          <wp:inline xmlns:a="http://schemas.openxmlformats.org/drawingml/2006/main" xmlns:pic="http://schemas.openxmlformats.org/drawingml/2006/picture">
            <wp:extent cx="5120640" cy="3503596"/>
            <wp:docPr id="5" name="Picture 5"/>
            <wp:cNvGraphicFramePr>
              <a:graphicFrameLocks noChangeAspect="1"/>
            </wp:cNvGraphicFramePr>
            <a:graphic>
              <a:graphicData uri="http://schemas.openxmlformats.org/drawingml/2006/picture">
                <pic:pic>
                  <pic:nvPicPr>
                    <pic:cNvPr id="0" name="fig5-conformal.png"/>
                    <pic:cNvPicPr/>
                  </pic:nvPicPr>
                  <pic:blipFill>
                    <a:blip r:embed="rId13"/>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(16-74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(289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