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rPr>
          <w:b/>
        </w:rPr>
        <w:t>真实文档上的显著性</w:t>
      </w:r>
      <w:r>
        <w:t>：300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56</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66</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C，是</w:t>
      </w:r>
      <w:r>
        <w:rPr>
          <w:b/>
        </w:rPr>
        <w:t>很强的低预算基线</w:t>
      </w:r>
      <w:r>
        <w:t>：66 token 就有 0.844， 优于 108 token 的固定 top-3。但一旦要求高召回，它就被反超——因为 A 预测直接不给证据，且路由是固定的， 没有「用 token 换目标召回」的旋钮。这正是 6.10 节提供、而该基线缺失的接口；两者互补而非互斥： 分类器挑一个便宜的运行点，保形协议则把「目标质量」折算成它实际需要的预算。</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7%–21%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