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 We further show how a quality target can be translated into a budget: with twenty labelled questions, a split-conformal rule covers a new question with probability at least 1-alpha, empirical coverage staying within 0.015 of nominal at 120-276 tokens on the hybrid retriever, while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has become a common way to ground language models in external, updatable evidence [1]. Most systems still treat retrieval depth as a hyperparameter, retrieving a fixed number of passages and concatenating them into the context [2,3]. This choice was reasonable when retrieving a few additional passages cost little. Yet position-sensitivity experiments show double-digit accuracy differences depending on where identical evidence appears in the context [4]. Retrieving more, therefore, does not necessarily improve an answer; both evidence quantity and placement must be allocated. A related issue is how retrieval methods are compared. Most studies report Recall@$k$ at a fixed $k$, although $k$, chunk size and routing depth differ across methods. Because these choices alter token use, recall gains alone do not establish comparable quality–cost trade-offs. We therefore report Recall@budget throughout to support budget-matched comparisons (Section 6.1).</w:t>
      </w:r>
    </w:p>
    <w:p>
      <w:r>
        <w:t>Existing work addresses retrieval depth through four complementary lines (Sections 2.1–2.4). Adaptive retrieval determines whether and how many steps to retrieve (Section 2.1). Corrective retrieval responds when retrieval has failed (Section 2.2). Cost-aware retrieval treats evidence acquisition as a resource-allocation problem (Section 2.3). Compression, reranking and query rewriting alter the unit cost, ordering and candidate pool of retrieved evidence (Section 2.4). Despite their differences, these approaches generally treat the budget as exogenous. A classifier chooses a depth, an evaluator triggers repair and a selector chooses among priced evidence, but none identifies which action merits the next unit of budget. Findings that static selectors can be brittle in cost-aware RAG further motivate modelling allocation itself [12].</w:t>
      </w:r>
    </w:p>
    <w:p>
      <w:r>
        <w:t>We cast retrieval-depth selection as a problem of budget-constrained set selection. Each executable retrieval action—taking another chunk, switching to hybrid retrieval, rewriting the query or adding a second hop—incurs cost $c(a)$ and yields marginal quality gain $g(a \mid S)$. A policy is a subset $S$ of actions chosen under budget $B$. If marginal gains diminish as actions are added, the quality function is monotone submodular. This structure supports classical approximation guarantees for gain-per-cost greedy selection. The decision to rewrite therefore depends on the budget's shadow price, not on a fixed rule. The optimal retrieval cascade is a chain of confidence thresholds whose cutoffs decline as that price rises.</w:t>
      </w:r>
    </w:p>
    <w:p>
      <w:r>
        <w:t>We implement this framework in a running system and evaluate it on retrieval and end-to-end benchmarks. Additional evaluations cover LongBench retrieval subsets, multi-hop generation benchmarks and doubly annotated examples.</w:t>
      </w:r>
    </w:p>
    <w:p>
      <w:r>
        <w:t>Our contributions are threefold.</w:t>
      </w:r>
    </w:p>
    <w:p>
      <w:pPr>
        <w:pStyle w:val="ListNumber"/>
      </w:pPr>
      <w:r>
        <w:t>We unify chunk selection, hybrid retrieval, query rewriting and second hop retrieval in one priced</w:t>
      </w:r>
    </w:p>
    <w:p>
      <w:r>
        <w:t>action set. Under diminishing returns, the objective is monotone submodular (Sections 3 and 5). Density greedy attains $1-1/e$ under a cardinality budget and $(1-1/e)/2$ under a cost budget, and cross-tier enumeration restores a $1-1/e$ guarantee.</w:t>
      </w:r>
    </w:p>
    <w:p>
      <w:pPr>
        <w:pStyle w:val="ListNumber"/>
      </w:pPr>
      <w:r>
        <w:t>We derive the closed-form rewriting threshold $\tau^*(\lambda)$ (Propositions 2 and 4; Section 6.7).</w:t>
      </w:r>
    </w:p>
    <w:p>
      <w:r>
        <w:t>As predicted, raising the unit-price coefficient from 0.25 to 2 lowers $\tau^*$ from 0.25 to 0.</w:t>
      </w:r>
    </w:p>
    <w:p>
      <w:pPr>
        <w:pStyle w:val="ListNumber"/>
      </w:pPr>
      <w:r>
        <w:t>We turn the budget into a user-facing interface: given a quality target, a calibration protocol with</w:t>
      </w:r>
    </w:p>
    <w:p>
      <w:r>
        <w:t>twenty labelled questions predicts the required budget, reports a reach rate, and refuses targets above what the retriever can deliver (Section 6.10).</w:t>
      </w:r>
    </w:p>
    <w:p>
      <w:pPr>
        <w:pStyle w:val="ListNumber"/>
      </w:pPr>
      <w:r>
        <w:t>On a 200-query retrieval benchmark, the system achieves 0.960 recall at an average context cost of</w:t>
      </w:r>
    </w:p>
    <w:p>
      <w:r>
        <w:t>126 tokens, against five baselines evaluated under a common budget. An approximation of corrective retrieval yields 0.925 recall at 179 tokens, and dense retrieval yields 0.910 at 115 tokens. Paired bootstrap and McNemar tests show that the reported differences are significant ($p&lt;0.05$). On 500 end-to-end queries, the system matches fixed top-3 containment (0.912 versus 0.920, within paired noise) at roughly half the prompt cost (474 versus 972 tokens). Recall reaches 0.995 and 1.000 on two LongBench retrieval subsets. These figures come from the controlled synthetic setting. On 312 official documentation pages and on BEIR scifact, deciding retrieval depth from the score margin matches fixed-k quality with 7–21% fewer context tokens, whereas sentence-level indexing and gated rewriting do not transfer to English documentation (Section 6.9). Retrieval improves answer accuracy on three multi-hop generation benchmarks for a locally deployed 4B model, and on HotpotQA for a hosted large model. An evaluation of 200 doubly annotated examples suggests that automatic containment metrics are conservative, making reported recall a lower bound on answer quality.</w:t>
      </w:r>
    </w:p>
    <w:p>
      <w:pPr>
        <w:pStyle w:val="Heading1"/>
      </w:pPr>
      <w:r>
        <w:t>2. Related Work</w:t>
      </w:r>
    </w:p>
    <w:p>
      <w:r>
        <w:t>Retrieval-augmented generation couples parametric memory with updatable external evidence [1], and in most systems the retrieval depth is a hyperparameter: a fixed number of top-$k$ passages is retrieved and concatenated into the context [2,3]. That default was reasonable when context was cheap—taking a few more passages cost nearly nothing. The cost has since moved. Position-sensitivity experiments show double-digit accuracy differences depending on where the same evidence lands [4], so "retrieve more" is no longer equivalent to "answer better"; both *how much* to take and *where to put it* have become resources to allocate rather than tune. A subtler cost is reporting: most work reports Recall@$k$ at a fixed $k$, while $k$, chunk length and routing depth differ across methods, so quality–cost curves cannot be stitched together—an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A query admits a set of retrieval actions $\mathcal{A}$. Action $a$ has cost $c(a)$ and marginal gain $g(a\mid S)$ given the already selected set $S$, and the quality $Q(S)$ is monotone non-decreasing. A policy is the solution of</w:t>
      </w:r>
    </w:p>
    <w:p>
      <w:pPr>
        <w:jc w:val="center"/>
      </w:pPr>
      <w:r>
        <w:rPr>
          <w:i/>
        </w:rPr>
        <w:t>\max_{S\subseteq\mathcal{A}} Q(S) \quad \text{s.t.} \quad \sum_{a\in S} c(a) \le B .</w:t>
      </w:r>
    </w:p>
    <w:p>
      <w:r>
        <w:t xml:space="preserve">Two assumptions carry the later results: </w:t>
      </w:r>
      <w:r>
        <w:rPr>
          <w:b/>
        </w:rPr>
        <w:t>A1</w:t>
      </w:r>
      <w:r>
        <w:t xml:space="preserve"> diminishing marginal returns, and </w:t>
      </w:r>
      <w:r>
        <w:rPr>
          <w:b/>
        </w:rPr>
        <w:t>A2</w:t>
      </w:r>
      <w:r>
        <w:t xml:space="preserve"> costs are additive and order-independent.</w:t>
      </w:r>
    </w:p>
    <w:p>
      <w:pPr>
        <w:pStyle w:val="Heading1"/>
      </w:pPr>
      <w:r>
        <w:t>4. Method</w:t>
      </w:r>
    </w:p>
    <w:p>
      <w:pPr>
        <w:pStyle w:val="Heading2"/>
      </w:pPr>
      <w:r>
        <w:t>4.1 Dual Index and Budgeted Chunk Selection</w:t>
      </w:r>
    </w:p>
    <w:p>
      <w:r>
        <w:t xml:space="preserve">Long documents are indexed at two granularities (Figure 1): </w:t>
      </w:r>
      <w:r>
        <w:rPr>
          <w:b/>
        </w:rPr>
        <w:t>sentence level</w:t>
      </w:r>
      <w:r>
        <w:t xml:space="preserve"> (split on punctuation, roughly 15–40 tokens) and </w:t>
      </w:r>
      <w:r>
        <w:rPr>
          <w:b/>
        </w:rPr>
        <w:t>fixed blocks</w:t>
      </w:r>
      <w:r>
        <w:t xml:space="preserve"> (sliding window, 200 tokens with 40 overlap by default). Sentence-level indexing never drags unrelated sentences in, which pays off on short-sentence corpora such as the Chinese technical notes of Section 6.2; fixed blocks keep a coherent window and, as Section 6.9 shows, are decisively better on English documentation (0.922 against 0.647 at a 300-token budget). The system therefore selects granularity per corpus: sentence level when ctx &lt; 500 </w:t>
      </w:r>
      <w:r>
        <w:rPr>
          <w:b/>
        </w:rPr>
        <w:t>and</w:t>
      </w:r>
      <w:r>
        <w:t xml:space="preserve"> the corpus is short-sentence, fixed blocks otherwise.</w:t>
      </w:r>
    </w:p>
    <w:p>
      <w:r>
        <w:t>Chunks are accumulated in descending retrieval score until the selected chunks reach the token budget $B$, and then the loop stops, with no fixed $k$ truncation. Section 6.9 qualifies this design: on real corpora the truncation behaves like a well-chosen fixed $k$, and the operational difference appears only when the depth is chosen per query from the score margin.</w:t>
      </w:r>
    </w:p>
    <w:p>
      <w:pPr>
        <w:pStyle w:val="Heading2"/>
      </w:pPr>
      <w:r>
        <w:t>4.2 Cascade Routing</w:t>
      </w:r>
    </w:p>
    <w:p>
      <w:r>
        <w:t>Routing is tiered by the admissible cost per thousand tokens: very tight budgets (&lt; 0.002 CNY) take one chunk from BM25; medium budgets take two chunks from BM25; generous budgets (≥ 0.01 CNY) take five chunks from hybrid retrieval. The tier boundaries are not arbitrary: they are the discretization of the greedy allocation (Proposition 1) and correspond to the knee of the gain-per-cost curve.</w:t>
      </w:r>
    </w:p>
    <w:p>
      <w:pPr>
        <w:pStyle w:val="Heading2"/>
      </w:pPr>
      <w:r>
        <w:t>4.3 Confidence-Gated Query Rewriting</w:t>
      </w:r>
    </w:p>
    <w:p>
      <w:r>
        <w:t>Rewriting accounts for more than half of the end-to-end latency (Section 6.8), so it is triggered only when needed. The system first runs a cheap retrieval and computes the relative margin between the top-1 and top-2 scores,</w:t>
      </w:r>
    </w:p>
    <w:p>
      <w:pPr>
        <w:jc w:val="center"/>
      </w:pPr>
      <w:r>
        <w:rPr>
          <w:i/>
        </w:rPr>
        <w:t>\gamma = \frac{s_1 - s_2}{s_1}.</w:t>
      </w:r>
    </w:p>
    <w:p>
      <w:r>
        <w:t>When $\gamma &lt; \tau$ the retrieval is deemed uncertain, the query is rewritten, and retrieval is repeated with "original question + rewrite terms". The optimal threshold is set by the shadow price of the budget (Proposition 2); the default 0.25 corresponds to pricing a rewrite at about one strong retrieval. The sensitivity experiment in Section 6.7 confirms that $\tau$ moves down as the unit price rises.</w:t>
      </w:r>
    </w:p>
    <w:p>
      <w:pPr>
        <w:pStyle w:val="Heading2"/>
      </w:pPr>
      <w:r>
        <w:t>4.4 Multi-Hop Extension</w:t>
      </w:r>
    </w:p>
    <w:p>
      <w:r>
        <w:t>For questions that need two pieces of evidence, after the first hop the model is given the question plus a summary of what was retrieved and asked what is still missing; a second hop then runs with "original question + supplementary query", and the two result sets are merged with chunk-level deduplication. Model-generated supplementary queries outperform rule-based extraction of proper nouns from the context (Section 6.5).</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The corpus is indexed twice; the budget selects sentence level or fixed blocks;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Below 300 tokens the sentence-level index wins because the same budget accommodates more sentences; beyond 500 tokens fixed blocks overtake it as a single block is more coherent. This is the basis for switching indexes by budget (Section 4.1).</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relative change.</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two BEIR subsets for public-protocol validation.</w:t>
      </w:r>
    </w:p>
    <w:p>
      <w:r>
        <w:rPr>
          <w:b/>
        </w:rPr>
        <w:t>Internal benchmark (301 questions, document-level recall)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 (alpha=0.2)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bl>
    <w:p>
      <w:r>
        <w:rPr>
          <w:b/>
        </w:rPr>
        <w:t>BEIR scifact (300 queries, document level)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nDCG@10</w:t>
            </w:r>
          </w:p>
        </w:tc>
        <w:tc>
          <w:tcPr>
            <w:tcW w:type="dxa" w:w="2160"/>
          </w:tcPr>
          <w:p>
            <w:r>
              <w:rPr>
                <w:b/>
                <w:sz w:val="18"/>
              </w:rPr>
            </w:r>
            <w:r>
              <w:rPr>
                <w:b/>
                <w:sz w:val="18"/>
              </w:rPr>
              <w:t>hit@k</w:t>
            </w:r>
          </w:p>
        </w:tc>
        <w:tc>
          <w:tcPr>
            <w:tcW w:type="dxa" w:w="2160"/>
          </w:tcPr>
          <w:p>
            <w:r>
              <w:rPr>
                <w:b/>
                <w:sz w:val="18"/>
              </w:rPr>
            </w:r>
            <w:r>
              <w:rPr>
                <w:b/>
                <w:sz w:val="18"/>
              </w:rPr>
              <w:t>mean tokens</w:t>
            </w:r>
          </w:p>
        </w:tc>
      </w:tr>
      <w:tr>
        <w:tc>
          <w:tcPr>
            <w:tcW w:type="dxa" w:w="2160"/>
          </w:tcPr>
          <w:p>
            <w:r>
              <w:rPr>
                <w:sz w:val="18"/>
              </w:rPr>
            </w:r>
            <w:r>
              <w:rPr>
                <w:sz w:val="18"/>
              </w:rPr>
              <w:t>Fixed k=10</w:t>
            </w:r>
          </w:p>
        </w:tc>
        <w:tc>
          <w:tcPr>
            <w:tcW w:type="dxa" w:w="2160"/>
          </w:tcPr>
          <w:p>
            <w:r>
              <w:rPr>
                <w:sz w:val="18"/>
              </w:rPr>
            </w:r>
            <w:r>
              <w:rPr>
                <w:sz w:val="18"/>
              </w:rPr>
              <w:t>0.7101</w:t>
            </w:r>
          </w:p>
        </w:tc>
        <w:tc>
          <w:tcPr>
            <w:tcW w:type="dxa" w:w="2160"/>
          </w:tcPr>
          <w:p>
            <w:r>
              <w:rPr>
                <w:sz w:val="18"/>
              </w:rPr>
            </w:r>
            <w:r>
              <w:rPr>
                <w:sz w:val="18"/>
              </w:rPr>
              <w:t>0.850</w:t>
            </w:r>
          </w:p>
        </w:tc>
        <w:tc>
          <w:tcPr>
            <w:tcW w:type="dxa" w:w="2160"/>
          </w:tcPr>
          <w:p>
            <w:r>
              <w:rPr>
                <w:sz w:val="18"/>
              </w:rPr>
            </w:r>
            <w:r>
              <w:rPr>
                <w:sz w:val="18"/>
              </w:rPr>
              <w:t>3264</w:t>
            </w:r>
          </w:p>
        </w:tc>
      </w:tr>
      <w:tr>
        <w:tc>
          <w:tcPr>
            <w:tcW w:type="dxa" w:w="2160"/>
          </w:tcPr>
          <w:p>
            <w:r>
              <w:rPr>
                <w:sz w:val="18"/>
              </w:rPr>
            </w:r>
            <w:r>
              <w:rPr>
                <w:sz w:val="18"/>
              </w:rPr>
              <w:t>Fixed k=8</w:t>
            </w:r>
          </w:p>
        </w:tc>
        <w:tc>
          <w:tcPr>
            <w:tcW w:type="dxa" w:w="2160"/>
          </w:tcPr>
          <w:p>
            <w:r>
              <w:rPr>
                <w:sz w:val="18"/>
              </w:rPr>
            </w:r>
            <w:r>
              <w:rPr>
                <w:sz w:val="18"/>
              </w:rPr>
              <w:t>0.7071</w:t>
            </w:r>
          </w:p>
        </w:tc>
        <w:tc>
          <w:tcPr>
            <w:tcW w:type="dxa" w:w="2160"/>
          </w:tcPr>
          <w:p>
            <w:r>
              <w:rPr>
                <w:sz w:val="18"/>
              </w:rPr>
            </w:r>
            <w:r>
              <w:rPr>
                <w:sz w:val="18"/>
              </w:rPr>
              <w:t>0.843</w:t>
            </w:r>
          </w:p>
        </w:tc>
        <w:tc>
          <w:tcPr>
            <w:tcW w:type="dxa" w:w="2160"/>
          </w:tcPr>
          <w:p>
            <w:r>
              <w:rPr>
                <w:sz w:val="18"/>
              </w:rPr>
            </w:r>
            <w:r>
              <w:rPr>
                <w:sz w:val="18"/>
              </w:rPr>
              <w:t>2615</w:t>
            </w:r>
          </w:p>
        </w:tc>
      </w:tr>
      <w:tr>
        <w:tc>
          <w:tcPr>
            <w:tcW w:type="dxa" w:w="2160"/>
          </w:tcPr>
          <w:p>
            <w:r>
              <w:rPr>
                <w:sz w:val="18"/>
              </w:rPr>
            </w:r>
            <w:r>
              <w:rPr>
                <w:b/>
                <w:sz w:val="18"/>
              </w:rPr>
              <w:t>Adaptive tau=0.12 (k=3/10)</w:t>
            </w:r>
          </w:p>
        </w:tc>
        <w:tc>
          <w:tcPr>
            <w:tcW w:type="dxa" w:w="2160"/>
          </w:tcPr>
          <w:p>
            <w:r>
              <w:rPr>
                <w:sz w:val="18"/>
              </w:rPr>
            </w:r>
            <w:r>
              <w:rPr>
                <w:b/>
                <w:sz w:val="18"/>
              </w:rPr>
              <w:t>0.7086</w:t>
            </w:r>
          </w:p>
        </w:tc>
        <w:tc>
          <w:tcPr>
            <w:tcW w:type="dxa" w:w="2160"/>
          </w:tcPr>
          <w:p>
            <w:r>
              <w:rPr>
                <w:sz w:val="18"/>
              </w:rPr>
            </w:r>
            <w:r>
              <w:rPr>
                <w:b/>
                <w:sz w:val="18"/>
              </w:rPr>
              <w:t>0.850</w:t>
            </w:r>
          </w:p>
        </w:tc>
        <w:tc>
          <w:tcPr>
            <w:tcW w:type="dxa" w:w="2160"/>
          </w:tcPr>
          <w:p>
            <w:r>
              <w:rPr>
                <w:sz w:val="18"/>
              </w:rPr>
            </w:r>
            <w:r>
              <w:rPr>
                <w:b/>
                <w:sz w:val="18"/>
              </w:rPr>
              <w:t>2393 (-27%)</w:t>
            </w:r>
          </w:p>
        </w:tc>
      </w:tr>
    </w:tbl>
    <w:p>
      <w:r>
        <w:rPr>
          <w:b/>
        </w:rPr>
        <w:t>BEIR nfcorpus (150 queries)</w:t>
      </w:r>
      <w:r>
        <w:t>: adaptive tau=0.20 (k=4/10) yields nDCG 0.3725, hit 0.740 and 3218 tokens, 7% below fixed k=10. The threshold need not be tuned per corpus. Setting tau to the (1 - rho) quantile of the run's own margin distribution turns the knob into "the fraction of queries we are willing to treat as easy": on scifact, rho = 0.3 gives tau = 0.149, keeps nDCG@10 at 0.7095 and hit@k at 0.850, and uses 2589 tokens instead of 3264 (21% saving); on nfcorpus only rho = 0.1 is safe (7% saving), because its margins are flatter and reclassifying more queries as easy costs accuracy.</w:t>
      </w:r>
    </w:p>
    <w:p>
      <w:r>
        <w:rPr>
          <w:b/>
        </w:rPr>
        <w:t>BEIR fiqa (300 queries, 57,638 documents)</w:t>
      </w:r>
      <w:r>
        <w:t>: adaptive tau=0.12 (k=4/10) keeps hit@k at 0.703 with 5% fewer tokens; a large corpus flattens score margins, so few queries are judged easy and the saving shrinks.</w:t>
      </w:r>
    </w:p>
    <w:p>
      <w:r>
        <w:rPr>
          <w:b/>
        </w:rPr>
        <w:t>Significance on real documentation.</w:t>
      </w:r>
      <w:r>
        <w:t xml:space="preserve"> At a 300-token budget the paired comparison on the 301 questions is mixed, and we report it as such. Hybrid beats BM25 decisively (36 wins, 3 losses, McNemar p &lt; 0.0001, surviving Holm correction for three comparisons) and also beats dense bge-large (25 wins, 8 losses, p = 0.0046, Holm-adjusted 0.0091), but ties dense bge-m3 (11 wins, 4 losses, p = 0.12). On this corpus the system therefore matches the strongest dense retriever rather than surpassing it; the contribution in this setting is the cost side, not the accuracy side.</w:t>
      </w:r>
    </w:p>
    <w:p>
      <w:r>
        <w:t xml:space="preserve">Three revised conclusions. First, the transferable gain is </w:t>
      </w:r>
      <w:r>
        <w:rPr>
          <w:b/>
        </w:rPr>
        <w:t>difficulty-adaptive depth</w:t>
      </w:r>
      <w:r>
        <w:t xml:space="preserve">: at equal recall or hit rate it saves 7%-21% of context under a single calibrated knob, the saving tracking how many queries can be answered confidently (21% on scifact, 7% on nfcorpus, 7% on fiqa, where a 57k-document corpus flattens the score margins). Second, </w:t>
      </w:r>
      <w:r>
        <w:rPr>
          <w:b/>
        </w:rPr>
        <w:t>token-based truncation alone carries no advantage</w:t>
      </w:r>
      <w:r>
        <w:t xml:space="preserve">: on the internal benchmark fixed k=8 reaches the same recall as budget-300 truncation (294 vs 318 tokens), so the difference comes from deciding how many chunks each query needs, not from stopping at a token count. Third, </w:t>
      </w:r>
      <w:r>
        <w:rPr>
          <w:b/>
        </w:rPr>
        <w:t>sentence-level indexing and gated rewriting do not transfer</w:t>
      </w:r>
      <w:r>
        <w:t>: on English documentation the sentence index scores 0.647 against 0.922 for fixed blocks, and gated rewriting 0.902 against 0.922,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2"/>
      </w:pPr>
      <w:r>
        <w:t>6.10 From a Budget to a Quality Target</w:t>
      </w:r>
    </w:p>
    <w:p>
      <w:r>
        <w:t>Users do not ask for "300 tokens"; they ask for "90% recall". Turning the second into the first is a calibration problem, and it admits a distribution-free solution with a finite-sample guarantee.</w:t>
      </w:r>
    </w:p>
    <w:p>
      <w:r>
        <w:rPr>
          <w:b/>
        </w:rPr>
        <w:t>Protocol (split conformal).</w:t>
      </w:r>
      <w:r>
        <w:t xml:space="preserve"> Sample N labelled questions (N = 20), record for each the smallest budget at which the answer span enters the context, and set the budget to the ceil((N+1)(1-alpha))-th smallest of those values; alpha = 1 - T for a target T. If the required order statistic is infinite -- that is, the calibration sample never reaches the target -- the protocol reports the target as unreachable instead of returning a number. Under exchangeability of calibration and test questions, the resulting budget covers a new question with probability at least 1 - alpha, so the expected recall is at least T. One hundred random splits separate calibration from evaluation.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Retriever</w:t>
            </w:r>
          </w:p>
        </w:tc>
        <w:tc>
          <w:tcPr>
            <w:tcW w:type="dxa" w:w="1440"/>
          </w:tcPr>
          <w:p>
            <w:r>
              <w:rPr>
                <w:b/>
                <w:sz w:val="18"/>
              </w:rPr>
            </w:r>
            <w:r>
              <w:rPr>
                <w:b/>
                <w:sz w:val="18"/>
              </w:rPr>
              <w:t>Target</w:t>
            </w:r>
          </w:p>
        </w:tc>
        <w:tc>
          <w:tcPr>
            <w:tcW w:type="dxa" w:w="1440"/>
          </w:tcPr>
          <w:p>
            <w:r>
              <w:rPr>
                <w:b/>
                <w:sz w:val="18"/>
              </w:rPr>
            </w:r>
            <w:r>
              <w:rPr>
                <w:b/>
                <w:sz w:val="18"/>
              </w:rPr>
              <w:t>Budget (median)</w:t>
            </w:r>
          </w:p>
        </w:tc>
        <w:tc>
          <w:tcPr>
            <w:tcW w:type="dxa" w:w="1440"/>
          </w:tcPr>
          <w:p>
            <w:r>
              <w:rPr>
                <w:b/>
                <w:sz w:val="18"/>
              </w:rPr>
            </w:r>
            <w:r>
              <w:rPr>
                <w:b/>
                <w:sz w:val="18"/>
              </w:rPr>
              <w:t>Empirical coverage</w:t>
            </w:r>
          </w:p>
        </w:tc>
        <w:tc>
          <w:tcPr>
            <w:tcW w:type="dxa" w:w="1440"/>
          </w:tcPr>
          <w:p>
            <w:r>
              <w:rPr>
                <w:b/>
                <w:sz w:val="18"/>
              </w:rPr>
            </w:r>
            <w:r>
              <w:rPr>
                <w:b/>
                <w:sz w:val="18"/>
              </w:rPr>
              <w:t>Nominal</w:t>
            </w:r>
          </w:p>
        </w:tc>
        <w:tc>
          <w:tcPr>
            <w:tcW w:type="dxa" w:w="1440"/>
          </w:tcPr>
          <w:p>
            <w:r>
              <w:rPr>
                <w:b/>
                <w:sz w:val="18"/>
              </w:rPr>
            </w:r>
            <w:r>
              <w:rPr>
                <w:b/>
                <w:sz w:val="18"/>
              </w:rPr>
              <w:t>Gap</w:t>
            </w:r>
          </w:p>
        </w:tc>
      </w:tr>
      <w:tr>
        <w:tc>
          <w:tcPr>
            <w:tcW w:type="dxa" w:w="1440"/>
          </w:tcPr>
          <w:p>
            <w:r>
              <w:rPr>
                <w:sz w:val="18"/>
              </w:rPr>
            </w:r>
            <w:r>
              <w:rPr>
                <w:sz w:val="18"/>
              </w:rPr>
              <w:t>Hybrid (bge-m3)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 (bge-m3)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 (bge-m3)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 (bge-large-en)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 (bge-large-en)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Three findings follow. First, on the strongest retriever the guarantee holds: empirical coverage tracks the nominal level within 0.015 at all three targets, and the budgets (120-276 tokens) stay well below what a fixed k = 8 needs for the same recall (289 tokens). Second, calibration is retriever-specific: under bge-large-en the gap at 0.90 widens to -0.020 and under BM25 to -0.052 with a 55% refusal rate at that target, so a change of retriever requires recalibration and an honest refusal path. Third, a saturating-curve variant with a safety margin reaches a similar reach rate but needs a hand-tuned margin and gives no guarantee, so the conformal form is preferred.</w:t>
      </w:r>
    </w:p>
    <w:p>
      <w:r>
        <w:t>The guarantee holds across the range rather than at three points. Sweeping alpha from 0.05 to 0.50 moves nominal coverage from 0.95 to 0.50, and empirical coverage tracks it within 0.046: 0.922 at 0.95, 0.891 at 0.90, 0.865 at 0.85, 0.810 at 0.80, 0.754 at 0.75, 0.699 at 0.70, 0.646 at 0.60 and 0.524 at 0.50 (Figure 5). The one systematic gap is the far tail: at nominal 0.95, 28% of calibration samples never reach the target and the protocol refuses rather than under-covers, and among the samples that do return a budget the median is 664 tokens.</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Figure 5.</w:t>
      </w:r>
      <w:r>
        <w:t xml:space="preserve"> Empirical coverage against nominal coverage for the conformal protocol on the hybrid retriever, sweeping alpha from 0.05 to 0.50. The grey diagonal is nominal = empirical; vertical bars mark the 5th percentile of coverage across 100 random splits; labels give the median budget and the refusal rate.</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Figure 4.</w:t>
      </w:r>
      <w:r>
        <w:t xml:space="preserve"> (A) Recall against context budget for four retrievers on the 301-question benchmark; the dashed lines mark the 0.80, 0.85 and 0.90 targets. (B) Reach rate against the safety margin for the curve-based variant, shown for comparison with the conformal protocol of this section.</w:t>
      </w:r>
    </w:p>
    <w:p>
      <w:pPr>
        <w:pStyle w:val="Heading2"/>
      </w:pPr>
      <w:r>
        <w:t>6.11 Why a Second Budget Does Not Bind</w:t>
      </w:r>
    </w:p>
    <w:p>
      <w:r>
        <w:t>Real systems are constrained by tokens, latency and money at once, so one may ask whether a scalar budget is an oversimplification. We measured the retrieval side directly on the 301-question benchmark: BM25 takes 16 ms, dense retrieval 45 ms (including query encoding) and hybrid retrieval 73 ms, while generation takes 898 ms at p50 (Section 6.8). Retrieval therefore accounts for at most 7.5% of end-to-end latency, and the three cost dimensions are collinear in this setting: money is a fixed multiple of tokens, prefill latency is close to linear in context length, and the spread across retrievers (16-70 ms) is too small to move a latency budget.</w:t>
      </w:r>
    </w:p>
    <w:p>
      <w:r>
        <w:t>The only action with a distinct cost vector is query rewriting, which adds both tokens and about 870 ms of latency. On this corpus it also lowers recall (0.874 against 0.910), so it is dominated in every two-dimensional budget. A second dimension would only bind when a component carries a different cost shape: per-call web search fees, routing between models of different price and quality, or an end-to-end latency SLA tight enough to exclude rewriting outright. The scalar budget is therefore not a simplification of the problem but the correct model for this operating regime, and we state the conditions under which it would have to be extended.</w:t>
      </w:r>
    </w:p>
    <w:p>
      <w:pPr>
        <w:pStyle w:val="Heading2"/>
      </w:pPr>
      <w:r>
        <w:t>6.12 The Exchange Rate between Retrieval Time and Context Length</w:t>
      </w:r>
    </w:p>
    <w:p>
      <w:r>
        <w:t xml:space="preserve">Section 6.11 showed that a second budget does not bind, but the two dimensions are not unrelated: they can be traded. At equal recall, a stronger retriever needs less context. On the 301-question benchmark, reaching 0.80 recall costs BM25 331 tokens at 16 ms but hybrid retrieval 114 tokens at 74 ms, so 58 ms of retrieval time buys 217 tokens, an exchange rate of </w:t>
      </w:r>
      <w:r>
        <w:rPr>
          <w:b/>
        </w:rPr>
        <w:t>3.7 tokens per millisecond</w:t>
      </w:r>
      <w:r>
        <w:t xml:space="preserve">; at a 0.90 target the same swap saves 1050 tokens, or </w:t>
      </w:r>
      <w:r>
        <w:rPr>
          <w:b/>
        </w:rPr>
        <w:t>18.3 tokens per millisecond</w:t>
      </w:r>
      <w:r>
        <w:t>.</w:t>
      </w:r>
    </w:p>
    <w:p>
      <w:r>
        <w:t xml:space="preserve">Whether the trade is worth it depends on what a token costs downstream. Measuring prompt prefill directly with a local Ollama deployment (prompt_eval_duration, randomised prompts to defeat prefix caching) gives 195 ms for 100 prompt tokens, 570 ms for 300, 1194 ms for 600 and 2125 ms for 1000, a slope of </w:t>
      </w:r>
      <w:r>
        <w:rPr>
          <w:b/>
        </w:rPr>
        <w:t>2.15 ms per token</w:t>
      </w:r>
      <w:r>
        <w:t xml:space="preserve"> on CPU. The net gain from swapping to the stronger retriever is then 467 ms at a 0.80 target and 2258 ms at 0.90, against 58 ms of extra retrieval.</w:t>
      </w:r>
    </w:p>
    <w:p>
      <w:r>
        <w:t>The break-even condition is r * p &gt; 1, where r is the exchange rate in tokens per millisecond and p is the prefill cost per token. On this machine 3.7 * 2.15 = 8.0, so the swap always pays. On a GPU where prefill costs about 0.1 ms per token the product falls to 0.37 at a 0.80 target, so the swap stops paying there but remains profitable at 0.90 (1.83). The trade is therefore computable rather than qualitative, and it explains the conclusion of Section 6.11 from the other side: retrieval time is so cheap relative to context that spending it is almost always right.</w:t>
      </w:r>
    </w:p>
    <w:p>
      <w:pPr>
        <w:pStyle w:val="Heading2"/>
      </w:pPr>
      <w:r>
        <w:t>6.13 How the Questions Were Written, and How Much They Overlap the Sources</w:t>
      </w:r>
    </w:p>
    <w:p>
      <w:r>
        <w:t>The 301 questions come from two sources: six were written by the author in Chinese and translated, the remainder were drafted from the documentation and then checked by the author against the source passage, with the answer required to appear verbatim in the document. Because a question that reuses the wording of its source lets a retriever win by surface matching, we quantify the overlap.</w:t>
      </w:r>
    </w:p>
    <w:p>
      <w:r>
        <w:t xml:space="preserve">For every question we compute the fraction of its 4-grams that occur in the source document, and the longest run of words shared with it. Median 4-gram coverage is </w:t>
      </w:r>
      <w:r>
        <w:rPr>
          <w:b/>
        </w:rPr>
        <w:t>0.000</w:t>
      </w:r>
      <w:r>
        <w:t xml:space="preserve"> (mean 0.044); only 5 of 301 questions (1.7%) exceed 0.50, all of them short definitional questions such as "What is a container?"; the longest shared run is 2 words at the median and 9 at the maximum. As a control, using the answer-bearing source sentence itself as the query yields median coverage </w:t>
      </w:r>
      <w:r>
        <w:rPr>
          <w:b/>
        </w:rPr>
        <w:t>1.000</w:t>
      </w:r>
      <w:r>
        <w:t>. The questions are therefore not lexical rewrites of their sources: a retriever cannot succeed by matching the question's own wording, which is the property the evaluation needs.</w:t>
      </w:r>
    </w:p>
    <w:p>
      <w:pPr>
        <w:pStyle w:val="Heading2"/>
      </w:pPr>
      <w:r>
        <w:t>6.14 Where the Errors Come From</w:t>
      </w:r>
    </w:p>
    <w:p>
      <w:r>
        <w:t xml:space="preserve">At a 300-token budget the hybrid retriever misses 27 of the 301 questions. In every one of those cases the answer span </w:t>
      </w:r>
      <w:r>
        <w:rPr>
          <w:b/>
        </w:rPr>
        <w:t>does exist</w:t>
      </w:r>
      <w:r>
        <w:t xml:space="preserve"> in the target document, so the failures are ranking failures rather than data errors: the correct passage was in the corpus but did not make it into the budget. The misses concentrate on short, low-signal answers -- a bare number (0.1, X+8), a hash-function count, a completion token like (0, NULL) -- which many passages in the corpus contain, so the retriever has little to distinguish them.</w:t>
      </w:r>
    </w:p>
    <w:p>
      <w:r>
        <w:t xml:space="preserve">On the multi-hop generation benchmarks the failure mode is different: across 300 questions every output was non-empty, and the errors are </w:t>
      </w:r>
      <w:r>
        <w:rPr>
          <w:b/>
        </w:rPr>
        <w:t>wrong-entity substitutions</w:t>
      </w:r>
      <w:r>
        <w:t xml:space="preserve"> rather than refusals. For example the comparison question "which case was brought first, Miller v. California or Gates v. Collier" is answered with the second case, and "where was the wife of Francis I Rakoczi born" is answered with the place she lived. Retrieval hit the answer span 0.51-0.69 of the time while accuracy was 0.14-0.52, so roughly half of the remaining gap is lost on the generation side, not in retrieval.</w:t>
      </w:r>
    </w:p>
    <w:p>
      <w:r>
        <w:t>The practical reading is that neither more context nor a larger budget fixes these two failure modes: the first needs better ranking of short answers, the second better entity disambiguation and two-hop evidence composition.</w:t>
      </w:r>
    </w:p>
    <w:p>
      <w:pPr>
        <w:pStyle w:val="Heading2"/>
      </w:pPr>
      <w:r>
        <w:t>6.15 Order-Dependent Costs: the Guarantee Breaks, the Decisions Do Not</w:t>
      </w:r>
    </w:p>
    <w:p>
      <w:r>
        <w:t>Assumption A2 treats costs as additive and order-independent. Real deployments do not: a second chunk from the same document usually shares a prefix, so its incremental cost is lower, and batching discounts depend on what was already fetched. We therefore asked whether the budgeted greedy rule survives a per-document discount.</w:t>
      </w:r>
    </w:p>
    <w:p>
      <w:r>
        <w:rPr>
          <w:b/>
        </w:rPr>
        <w:t>Theory first.</w:t>
      </w:r>
      <w:r>
        <w:t xml:space="preserve"> With "first chunk of a document at full price, later chunks at d times the price", the cost of a set becomes submodular rather than modular: marginal cost drops from p to d*p after the first chunk of a document. The bounds of Section 5 (Khuller et al.) assume modular costs, so the (1-1/e)/2 guarantee and its cross-tier recovery no longer follow. This is a genuine gap, not a technicality.</w:t>
      </w:r>
    </w:p>
    <w:p>
      <w:r>
        <w:rPr>
          <w:b/>
        </w:rPr>
        <w:t>Experiment.</w:t>
      </w:r>
      <w:r>
        <w:t xml:space="preserve"> On the 301 questions we restricted each query to its top-12 candidates and enumerated all 2^12 subsets, computing the true discounted cost and the achieved recall for d in {1.0, 0.7, 0.5, 0.3}. A true-cost greedy selected by gain per *actual* marginal cost, a naive greedy took candidates in score order while charging full price, and both were compared with the exhaustive optimum.</w:t>
      </w:r>
    </w:p>
    <w:p>
      <w:r>
        <w:t>The three policies agree on quality at every discount: mean recall 0.927 for the exhaustive optimum and for the true-cost greedy, 0.910 for the naive policy; greedy reaches the optimum on 301/301 questions, and the naive policy never exceeds the budget by more than rounding. The reason is the metric, not the algorithm: recall is binary per question (the answer span is either in the context or not), and the span sits in the single best chunk for 202 of 301 questions, so any policy that takes that chunk is optimal regardless of what the rest costs. Discounts change the price of the *other* chunks, which the objective does not reward.</w:t>
      </w:r>
    </w:p>
    <w:p>
      <w:r>
        <w:t>The practical reading is twofold. First, the theoretical guarantee genuinely does not transfer, and a paper that claims it under order-dependent costs would be wrong. Second, for single-span retrieval the non-additivity is inert -- it matters only when the objective requires combining evidence from different chunks, as in multi-hop questions, or when the answer is split across passages. We therefore keep A2 as a stated assumption, report the break in the guarantee here, and do not claim the bound for deployment settings with prefix caching.</w:t>
      </w:r>
    </w:p>
    <w:p>
      <w:pPr>
        <w:pStyle w:val="Heading2"/>
      </w:pPr>
      <w:r>
        <w:t>6.16 Reproducing the Official Complexity Classifier</w:t>
      </w:r>
    </w:p>
    <w:p>
      <w:r>
        <w:t>The strongest criticism of a routing paper is that it never runs the routing baseline it compares with. Appendix C approximates the behaviour with TF-IDF and BERT classifiers; here we replace that with a model trained by the official recipe on the official labels.</w:t>
      </w:r>
    </w:p>
    <w:p>
      <w:r>
        <w:t xml:space="preserve">Adaptive-RAG does not release a checkpoint, but its repository ships the silver training labels (A/B/C complexity) that its own classifier is trained on: 3,817 training and 1,431 validation questions. We trained the same T5 sequence-to-sequence objective on those labels. Our run uses t5-small with six epochs on CPU rather than the paper's T5-large on GPU, and reaches </w:t>
      </w:r>
      <w:r>
        <w:rPr>
          <w:b/>
        </w:rPr>
        <w:t>43.3%</w:t>
      </w:r>
      <w:r>
        <w:t xml:space="preserve"> three-way accuracy on the released validation split (the majority class alone accounts for about 40%), so it is a faithful mechanism reproduction at reduced model scale, not the original model.</w:t>
      </w:r>
    </w:p>
    <w:p>
      <w:r>
        <w:t>We then applied the classifier to our 301 questions and routed with the paper's own mapping: A (simple) takes no context, B (single-hop) retrieves five passages, C (multi-hop) retrieves ten.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Official classifier (faithful: A = no retrieval)</w:t>
            </w:r>
          </w:p>
        </w:tc>
        <w:tc>
          <w:tcPr>
            <w:tcW w:type="dxa" w:w="2880"/>
          </w:tcPr>
          <w:p>
            <w:r>
              <w:rPr>
                <w:sz w:val="18"/>
              </w:rPr>
            </w:r>
            <w:r>
              <w:rPr>
                <w:sz w:val="18"/>
              </w:rPr>
              <w:t>0.638</w:t>
            </w:r>
          </w:p>
        </w:tc>
        <w:tc>
          <w:tcPr>
            <w:tcW w:type="dxa" w:w="2880"/>
          </w:tcPr>
          <w:p>
            <w:r>
              <w:rPr>
                <w:sz w:val="18"/>
              </w:rPr>
            </w:r>
            <w:r>
              <w:rPr>
                <w:sz w:val="18"/>
              </w:rPr>
              <w:t>56</w:t>
            </w:r>
          </w:p>
        </w:tc>
      </w:tr>
      <w:tr>
        <w:tc>
          <w:tcPr>
            <w:tcW w:type="dxa" w:w="2880"/>
          </w:tcPr>
          <w:p>
            <w:r>
              <w:rPr>
                <w:sz w:val="18"/>
              </w:rPr>
            </w:r>
            <w:r>
              <w:rPr>
                <w:sz w:val="18"/>
              </w:rPr>
              <w:t>Official classifier (adapted: A = top-1 passage)</w:t>
            </w:r>
          </w:p>
        </w:tc>
        <w:tc>
          <w:tcPr>
            <w:tcW w:type="dxa" w:w="2880"/>
          </w:tcPr>
          <w:p>
            <w:r>
              <w:rPr>
                <w:sz w:val="18"/>
              </w:rPr>
            </w:r>
            <w:r>
              <w:rPr>
                <w:sz w:val="18"/>
              </w:rPr>
              <w:t>0.844</w:t>
            </w:r>
          </w:p>
        </w:tc>
        <w:tc>
          <w:tcPr>
            <w:tcW w:type="dxa" w:w="2880"/>
          </w:tcPr>
          <w:p>
            <w:r>
              <w:rPr>
                <w:sz w:val="18"/>
              </w:rPr>
            </w:r>
            <w:r>
              <w:rPr>
                <w:sz w:val="18"/>
              </w:rPr>
              <w:t>66</w:t>
            </w:r>
          </w:p>
        </w:tc>
      </w:tr>
      <w:tr>
        <w:tc>
          <w:tcPr>
            <w:tcW w:type="dxa" w:w="2880"/>
          </w:tcPr>
          <w:p>
            <w:r>
              <w:rPr>
                <w:sz w:val="18"/>
              </w:rPr>
            </w:r>
            <w:r>
              <w:rPr>
                <w:sz w:val="18"/>
              </w:rPr>
              <w:t>Hybrid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Hybrid top-8</w:t>
            </w:r>
          </w:p>
        </w:tc>
        <w:tc>
          <w:tcPr>
            <w:tcW w:type="dxa" w:w="2880"/>
          </w:tcPr>
          <w:p>
            <w:r>
              <w:rPr>
                <w:sz w:val="18"/>
              </w:rPr>
            </w:r>
            <w:r>
              <w:rPr>
                <w:sz w:val="18"/>
              </w:rPr>
              <w:t>0.904</w:t>
            </w:r>
          </w:p>
        </w:tc>
        <w:tc>
          <w:tcPr>
            <w:tcW w:type="dxa" w:w="2880"/>
          </w:tcPr>
          <w:p>
            <w:r>
              <w:rPr>
                <w:sz w:val="18"/>
              </w:rPr>
            </w:r>
            <w:r>
              <w:rPr>
                <w:sz w:val="18"/>
              </w:rPr>
              <w:t>289</w:t>
            </w:r>
          </w:p>
        </w:tc>
      </w:tr>
    </w:tbl>
    <w:p>
      <w:r>
        <w:t>The classifier assigns 83 questions to A, 189 to B and 29 to C, and it is a genuinely strong low-budget baseline: at 66 tokens it reaches 0.844, better than fixed top-3 at 108. It is however dominated once high recall is required, because an A prediction removes the evidence outright, and its routing is fixed -- there is no knob that trades tokens for a target recall. That is precisely the interface Section 6.10 provides and this baseline lacks, which is why the two are complementary rather than competing: the classifier picks a cheap operating point, the conformal protocol certifies a target quality at whatever budget that costs.</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(294 versus 318 tokens at equal recall). What does transfer is deciding the depth per query from the retrieval-score margin: at equal hit rate that saves 7% of context on short-document corpora and 27% on long-abstract corpora (Section 6.9). The mechanism is therefore "how many chunks does *this* query need", not "stop at a token count". 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0.50–0.65 of the time, yet a 4B model answers correctly only 0.20–0.40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more than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 xml:space="preserve">The conclusions have seven boundaries. </w:t>
      </w:r>
      <w:r>
        <w:rPr>
          <w:b/>
        </w:rPr>
        <w:t>Corpus</w:t>
      </w:r>
      <w:r>
        <w:t xml:space="preserve">: the main evidence is 500 synthetic technical questions; cross-corpus validation covers retrieval only (Section 6.4) and the multi-hop generation results are small (Section 6.5), so transfer to production corpora needs an additional validation set. </w:t>
      </w:r>
      <w:r>
        <w:rPr>
          <w:b/>
        </w:rPr>
        <w:t>Baselines</w:t>
      </w:r>
      <w:r>
        <w:t xml:space="preserve">: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w:t>
      </w:r>
      <w:r>
        <w:rPr>
          <w:b/>
        </w:rPr>
        <w:t>Cost</w:t>
      </w:r>
      <w:r>
        <w:t xml:space="preserve">: figures are converted from public unit prices and exclude batch discounts, cache hits and operations overhead (Section 7.3), which makes them suitable for relative comparison only. </w:t>
      </w:r>
      <w:r>
        <w:rPr>
          <w:b/>
        </w:rPr>
        <w:t>Token estimates</w:t>
      </w:r>
      <w:r>
        <w:t xml:space="preserve">: tiktoken over-counts Chinese relative to actual billing (Section 7.3), so the true context cost at equal recall is lower than reported. None of these four enters the abstract. Three further boundaries emerged when the corpus was enlarged. </w:t>
      </w:r>
      <w:r>
        <w:rPr>
          <w:b/>
        </w:rPr>
        <w:t>Main table</w:t>
      </w:r>
      <w:r>
        <w:t xml:space="preserve">: the 0.960 figure of Section 6.2 is a controlled synthetic setting; on real documentation the system ties a hybrid retriever (0.910) and the transferable gain is the 7–21% context saving of Section 6.9. </w:t>
      </w:r>
      <w:r>
        <w:rPr>
          <w:b/>
        </w:rPr>
        <w:t>Adaptive threshold</w:t>
      </w:r>
      <w:r>
        <w:t xml:space="preserve">: tau is a single global constant tuned per corpus (0.12 on scifact, 0.20 on nfcorpus), and per-query calibration is left open. </w:t>
      </w:r>
      <w:r>
        <w:rPr>
          <w:b/>
        </w:rPr>
        <w:t>Public benchmarks</w:t>
      </w:r>
      <w:r>
        <w:t>: three BEIR subsets were run, so the saving should be read as a range (7–21%), not a universal value.</w:t>
      </w:r>
    </w:p>
    <w:p>
      <w:r>
        <w:t>&lt;!-- Appendices to be translated. --&gt;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(v1.0.0).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v1.0.0).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