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 split-conformal rule covers a new question with probability at least 1-alpha, empirical coverage staying within 0.015 of nominal at 120-276 tokens on the hybrid retriever,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the controlled synthetic benchmark (500 queries,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(0.910) and the transferable gain is the 1–24% context saving of Section 6.9. </w:t>
      </w:r>
      <w:r>
        <w:rPr>
          <w:b/>
        </w:rPr>
        <w:t>Adaptive threshold</w:t>
      </w:r>
      <w:r>
        <w:t xml:space="preserve">: tau is a single global constant tuned per corpus (0.12 on scifact, 0.20 on nfcorpus). A per-query rule was tested and fails (Section 6.17), so recalibration remains a manual step. </w:t>
      </w:r>
      <w:r>
        <w:rPr>
          <w:b/>
        </w:rPr>
        <w:t>Public benchmarks</w:t>
      </w:r>
      <w:r>
        <w:t>: four BEIR subsets were run and one of them (arguana) shows no saving at all, so the gain is corpus-dependent (1–24%) rather than universal.</w:t>
      </w:r>
    </w:p>
    <w:p>
      <w:r>
        <w:t>&lt;!-- Appendices to be translated. --&gt;</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