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104–154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rPr>
          <w:b/>
        </w:rPr>
        <w:t>真实文档上的显著性</w:t>
      </w:r>
      <w:r>
        <w:t>：300 token 预算下，143 题的配对比较是混合结果，本文如实报告。混合检索显著优于 BM25（18 胜 0 负，McNemar p &lt; 0.0001，三组比较经 Holm 校正后仍显著），但与稠密 bge-m3 持平 （5 胜 3 负，p = 0.73），对稠密 bge-large 也未达显著（10 胜 3 负，p = 0.09，Holm 校正后 0.18）。 因此在本语料上系统是「与强稠密检索持平」，而不是超过它；这一设定下的贡献在成本侧，不在准确率侧。</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104</w:t>
            </w:r>
          </w:p>
        </w:tc>
        <w:tc>
          <w:tcPr>
            <w:tcW w:type="dxa" w:w="1440"/>
          </w:tcPr>
          <w:p>
            <w:r>
              <w:rPr>
                <w:sz w:val="18"/>
              </w:rPr>
            </w:r>
            <w:r>
              <w:rPr>
                <w:sz w:val="18"/>
              </w:rPr>
              <w:t>0.815</w:t>
            </w:r>
          </w:p>
        </w:tc>
        <w:tc>
          <w:tcPr>
            <w:tcW w:type="dxa" w:w="1440"/>
          </w:tcPr>
          <w:p>
            <w:r>
              <w:rPr>
                <w:sz w:val="18"/>
              </w:rPr>
            </w:r>
            <w:r>
              <w:rPr>
                <w:sz w:val="18"/>
              </w:rPr>
              <w:t>0.800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135</w:t>
            </w:r>
          </w:p>
        </w:tc>
        <w:tc>
          <w:tcPr>
            <w:tcW w:type="dxa" w:w="1440"/>
          </w:tcPr>
          <w:p>
            <w:r>
              <w:rPr>
                <w:sz w:val="18"/>
              </w:rPr>
            </w:r>
            <w:r>
              <w:rPr>
                <w:sz w:val="18"/>
              </w:rPr>
              <w:t>0.850</w:t>
            </w:r>
          </w:p>
        </w:tc>
        <w:tc>
          <w:tcPr>
            <w:tcW w:type="dxa" w:w="1440"/>
          </w:tcPr>
          <w:p>
            <w:r>
              <w:rPr>
                <w:sz w:val="18"/>
              </w:rPr>
            </w:r>
            <w:r>
              <w:rPr>
                <w:sz w:val="18"/>
              </w:rPr>
              <w:t>0.850</w:t>
            </w:r>
          </w:p>
        </w:tc>
        <w:tc>
          <w:tcPr>
            <w:tcW w:type="dxa" w:w="1440"/>
          </w:tcPr>
          <w:p>
            <w:r>
              <w:rPr>
                <w:sz w:val="18"/>
              </w:rPr>
            </w:r>
            <w:r>
              <w:rPr>
                <w:sz w:val="18"/>
              </w:rPr>
              <w:t>0.000</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154</w:t>
            </w:r>
          </w:p>
        </w:tc>
        <w:tc>
          <w:tcPr>
            <w:tcW w:type="dxa" w:w="1440"/>
          </w:tcPr>
          <w:p>
            <w:r>
              <w:rPr>
                <w:sz w:val="18"/>
              </w:rPr>
            </w:r>
            <w:r>
              <w:rPr>
                <w:sz w:val="18"/>
              </w:rPr>
              <w:t>0.894</w:t>
            </w:r>
          </w:p>
        </w:tc>
        <w:tc>
          <w:tcPr>
            <w:tcW w:type="dxa" w:w="1440"/>
          </w:tcPr>
          <w:p>
            <w:r>
              <w:rPr>
                <w:sz w:val="18"/>
              </w:rPr>
            </w:r>
            <w:r>
              <w:rPr>
                <w:sz w:val="18"/>
              </w:rPr>
              <w:t>0.900</w:t>
            </w:r>
          </w:p>
        </w:tc>
        <w:tc>
          <w:tcPr>
            <w:tcW w:type="dxa" w:w="1440"/>
          </w:tcPr>
          <w:p>
            <w:r>
              <w:rPr>
                <w:sz w:val="18"/>
              </w:rPr>
            </w:r>
            <w:r>
              <w:rPr>
                <w:sz w:val="18"/>
              </w:rPr>
              <w:t>−0.006</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156</w:t>
            </w:r>
          </w:p>
        </w:tc>
        <w:tc>
          <w:tcPr>
            <w:tcW w:type="dxa" w:w="1440"/>
          </w:tcPr>
          <w:p>
            <w:r>
              <w:rPr>
                <w:sz w:val="18"/>
              </w:rPr>
            </w:r>
            <w:r>
              <w:rPr>
                <w:sz w:val="18"/>
              </w:rPr>
              <w:t>0.813</w:t>
            </w:r>
          </w:p>
        </w:tc>
        <w:tc>
          <w:tcPr>
            <w:tcW w:type="dxa" w:w="1440"/>
          </w:tcPr>
          <w:p>
            <w:r>
              <w:rPr>
                <w:sz w:val="18"/>
              </w:rPr>
            </w:r>
            <w:r>
              <w:rPr>
                <w:sz w:val="18"/>
              </w:rPr>
              <w:t>0.800</w:t>
            </w:r>
          </w:p>
        </w:tc>
        <w:tc>
          <w:tcPr>
            <w:tcW w:type="dxa" w:w="1440"/>
          </w:tcPr>
          <w:p>
            <w:r>
              <w:rPr>
                <w:sz w:val="18"/>
              </w:rPr>
            </w:r>
            <w:r>
              <w:rPr>
                <w:sz w:val="18"/>
              </w:rPr>
              <w:t>+0.013</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337</w:t>
            </w:r>
          </w:p>
        </w:tc>
        <w:tc>
          <w:tcPr>
            <w:tcW w:type="dxa" w:w="1440"/>
          </w:tcPr>
          <w:p>
            <w:r>
              <w:rPr>
                <w:sz w:val="18"/>
              </w:rPr>
            </w:r>
            <w:r>
              <w:rPr>
                <w:sz w:val="18"/>
              </w:rPr>
              <w:t>0.871</w:t>
            </w:r>
          </w:p>
        </w:tc>
        <w:tc>
          <w:tcPr>
            <w:tcW w:type="dxa" w:w="1440"/>
          </w:tcPr>
          <w:p>
            <w:r>
              <w:rPr>
                <w:sz w:val="18"/>
              </w:rPr>
            </w:r>
            <w:r>
              <w:rPr>
                <w:sz w:val="18"/>
              </w:rPr>
              <w:t>0.900</w:t>
            </w:r>
          </w:p>
        </w:tc>
        <w:tc>
          <w:tcPr>
            <w:tcW w:type="dxa" w:w="1440"/>
          </w:tcPr>
          <w:p>
            <w:r>
              <w:rPr>
                <w:sz w:val="18"/>
              </w:rPr>
            </w:r>
            <w:r>
              <w:rPr>
                <w:sz w:val="18"/>
              </w:rPr>
              <w:t>−0.029</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366</w:t>
            </w:r>
          </w:p>
        </w:tc>
        <w:tc>
          <w:tcPr>
            <w:tcW w:type="dxa" w:w="1440"/>
          </w:tcPr>
          <w:p>
            <w:r>
              <w:rPr>
                <w:sz w:val="18"/>
              </w:rPr>
            </w:r>
            <w:r>
              <w:rPr>
                <w:sz w:val="18"/>
              </w:rPr>
              <w:t>0.800</w:t>
            </w:r>
          </w:p>
        </w:tc>
        <w:tc>
          <w:tcPr>
            <w:tcW w:type="dxa" w:w="1440"/>
          </w:tcPr>
          <w:p>
            <w:r>
              <w:rPr>
                <w:sz w:val="18"/>
              </w:rPr>
            </w:r>
            <w:r>
              <w:rPr>
                <w:sz w:val="18"/>
              </w:rPr>
              <w:t>0.800</w:t>
            </w:r>
          </w:p>
        </w:tc>
        <w:tc>
          <w:tcPr>
            <w:tcW w:type="dxa" w:w="1440"/>
          </w:tcPr>
          <w:p>
            <w:r>
              <w:rPr>
                <w:sz w:val="18"/>
              </w:rPr>
            </w:r>
            <w:r>
              <w:rPr>
                <w:sz w:val="18"/>
              </w:rPr>
              <w:t>0.000</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0.858</w:t>
            </w:r>
          </w:p>
        </w:tc>
        <w:tc>
          <w:tcPr>
            <w:tcW w:type="dxa" w:w="1440"/>
          </w:tcPr>
          <w:p>
            <w:r>
              <w:rPr>
                <w:sz w:val="18"/>
              </w:rPr>
            </w:r>
            <w:r>
              <w:rPr>
                <w:sz w:val="18"/>
              </w:rPr>
              <w:t>0.900</w:t>
            </w:r>
          </w:p>
        </w:tc>
        <w:tc>
          <w:tcPr>
            <w:tcW w:type="dxa" w:w="1440"/>
          </w:tcPr>
          <w:p>
            <w:r>
              <w:rPr>
                <w:sz w:val="18"/>
              </w:rPr>
            </w:r>
            <w:r>
              <w:rPr>
                <w:sz w:val="18"/>
              </w:rPr>
              <w:t>−0.042</w:t>
            </w:r>
          </w:p>
        </w:tc>
      </w:tr>
    </w:tbl>
    <w:p>
      <w:r>
        <w:t>三条结论。</w:t>
      </w:r>
      <w:r>
        <w:rPr>
          <w:b/>
        </w:rPr>
        <w:t>第一</w:t>
      </w:r>
      <w:r>
        <w:t>，在最强检索器上保证成立：三个目标的经验覆盖与名义值差距都在 0.015 以内， 而预算（104–154 token）远低于固定 k=8 达到同召回所需的 294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0.045 以内：0.95→0.922、0.90→0.898、0.85→0.856、0.80→0.820、0.70→0.722、 0.50→0.545（图 5）。唯一的系统性差距在最远端：名义 0.95 时有 43% 的标定样本根本达不到目标， 协议选择</w:t>
      </w:r>
      <w:r>
        <w:rPr>
          <w:b/>
        </w:rPr>
        <w:t>拒绝</w:t>
      </w:r>
      <w:r>
        <w:t>而不是给出一个覆盖不足的预算；在能给出预算的样本里，中位预算是 506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143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143 题上实测检索侧：BM25 16 ms、向量检索 42 ms（含查询编码）、混合检索 69 ms， 而生成 p50 为 898 ms（6.8 节）。检索最多占端到端 7.2%，且三个成本维度在本设定下共线： 钱是 token 的固定倍数，prefill 延迟与上下文长度近似线性，不同检索器之间 16–70 ms 的差异 不足以撼动延迟预算。</w:t>
      </w:r>
    </w:p>
    <w:p>
      <w:r>
        <w:t>唯一有不同成本向量的动作是查询改写：它同时增加 token 与约 870 ms 延迟，而在这批题上 召回还下降了（0.902 对 0.937），因此在任何二维预算下都被支配。第二个维度只有在某个组件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143 题上，达到 0.80 召回时 BM25 需要 325 token、耗时 17 ms，而混合检索只需 87 token、77 ms—— </w:t>
      </w:r>
      <w:r>
        <w:rPr>
          <w:b/>
        </w:rPr>
        <w:t>60 ms 检索时间换 238 token，交换率 4.0 token/ms</w:t>
      </w:r>
      <w:r>
        <w:t xml:space="preserve">；目标提到 0.90 时，同样的交换省下 810 token， 即 </w:t>
      </w:r>
      <w:r>
        <w:rPr>
          <w:b/>
        </w:rPr>
        <w:t>13.4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143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0.042）；143 题中仅 2 题（1.4%）超过 0.50；最长共享词串中位 2 词、最多 7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143 题中漏掉 9 题。这 9 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