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条双人标注显示自动指标偏保守，故报告值为召回下界。上述结果表明，预算感知的检索深度选择是「更低成本、更高准确率」的一条可行路径。本文进一步给出「质量目标 → 预算」的校准协议：20 条标注题加安全边际，预测预算落在最优值的 1.1–1.6 倍内，目标达成率 76%–93%，且对不可达目标显式拒绝。</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7%–21% 上下文（按语料单独调 τ 时最高 27%）；句级索引与门控改写不能迁移到英文文档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0.740，token 3218， 对固定 k=10 省 7%。阈值不必按语料调：把 τ 取成该批查询间隔分布的 (1−ρ) 分位数，「调参」就变成 「愿意把多少比例的问题当作简单题」。scifact 上 ρ=0.3 得 τ=0.149，nDCG 0.7095、hit 0.850 不变， token 从 3264 降到 2589（省 21%）；nfcorpus 只有 ρ=0.1 安全（省 7%），因为其间隔分布更平， 再多判简单题就会掉点。</w:t>
      </w:r>
      <w:r>
        <w:rPr>
          <w:b/>
        </w:rPr>
        <w:t>BEIR fiqa（300 查询、5.7 万文档）</w:t>
      </w:r>
      <w:r>
        <w:t>：τ=0.12（k=4/10）保持 hit 0.703， 省 5%——语料越大分数越平，被判为难题的比例越高，节省越小。</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而预算这个框架让它可以被显式地解决——只需要少量标注题。</w:t>
      </w:r>
    </w:p>
    <w:p>
      <w:r>
        <w:rPr>
          <w:b/>
        </w:rPr>
        <w:t>协议</w:t>
      </w:r>
      <w:r>
        <w:t>：抽 N 条（默认 20）带标注的问题，记录每条「答案片段进入上下文所需的最小预算」， 拟合饱和曲线 recall(B) = R_inf(1 − exp(−B/s))，反解出达到目标 T 加安全边际 δ 所需预算； 再用闭环步骤在拟合集上回验，不足则按 1.6 倍加预算（最多三轮）；若 T 超过检索器在该语料上的 上限，直接报「不可达」而不是给一个假承诺。30 次随机划分，拟合与评估分离。</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检索器</w:t>
            </w:r>
          </w:p>
        </w:tc>
        <w:tc>
          <w:tcPr>
            <w:tcW w:type="dxa" w:w="1234"/>
          </w:tcPr>
          <w:p>
            <w:r>
              <w:rPr>
                <w:b/>
                <w:sz w:val="18"/>
              </w:rPr>
            </w:r>
            <w:r>
              <w:rPr>
                <w:b/>
                <w:sz w:val="18"/>
              </w:rPr>
              <w:t>目标</w:t>
            </w:r>
          </w:p>
        </w:tc>
        <w:tc>
          <w:tcPr>
            <w:tcW w:type="dxa" w:w="1234"/>
          </w:tcPr>
          <w:p>
            <w:r>
              <w:rPr>
                <w:b/>
                <w:sz w:val="18"/>
              </w:rPr>
            </w:r>
            <w:r>
              <w:rPr>
                <w:b/>
                <w:sz w:val="18"/>
              </w:rPr>
              <w:t>边际</w:t>
            </w:r>
          </w:p>
        </w:tc>
        <w:tc>
          <w:tcPr>
            <w:tcW w:type="dxa" w:w="1234"/>
          </w:tcPr>
          <w:p>
            <w:r>
              <w:rPr>
                <w:b/>
                <w:sz w:val="18"/>
              </w:rPr>
            </w:r>
            <w:r>
              <w:rPr>
                <w:b/>
                <w:sz w:val="18"/>
              </w:rPr>
              <w:t>预测预算</w:t>
            </w:r>
          </w:p>
        </w:tc>
        <w:tc>
          <w:tcPr>
            <w:tcW w:type="dxa" w:w="1234"/>
          </w:tcPr>
          <w:p>
            <w:r>
              <w:rPr>
                <w:b/>
                <w:sz w:val="18"/>
              </w:rPr>
            </w:r>
            <w:r>
              <w:rPr>
                <w:b/>
                <w:sz w:val="18"/>
              </w:rPr>
              <w:t>实际召回</w:t>
            </w:r>
          </w:p>
        </w:tc>
        <w:tc>
          <w:tcPr>
            <w:tcW w:type="dxa" w:w="1234"/>
          </w:tcPr>
          <w:p>
            <w:r>
              <w:rPr>
                <w:b/>
                <w:sz w:val="18"/>
              </w:rPr>
            </w:r>
            <w:r>
              <w:rPr>
                <w:b/>
                <w:sz w:val="18"/>
              </w:rPr>
              <w:t>达标率</w:t>
            </w:r>
          </w:p>
        </w:tc>
        <w:tc>
          <w:tcPr>
            <w:tcW w:type="dxa" w:w="1234"/>
          </w:tcPr>
          <w:p>
            <w:r>
              <w:rPr>
                <w:b/>
                <w:sz w:val="18"/>
              </w:rPr>
            </w:r>
            <w:r>
              <w:rPr>
                <w:b/>
                <w:sz w:val="18"/>
              </w:rPr>
              <w:t>参考预算</w:t>
            </w:r>
          </w:p>
        </w:tc>
      </w:tr>
      <w:tr>
        <w:tc>
          <w:tcPr>
            <w:tcW w:type="dxa" w:w="1234"/>
          </w:tcPr>
          <w:p>
            <w:r>
              <w:rPr>
                <w:sz w:val="18"/>
              </w:rPr>
            </w:r>
            <w:r>
              <w:rPr>
                <w:sz w:val="18"/>
              </w:rPr>
              <w:t>Hybrid（bge-m3）</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139</w:t>
            </w:r>
          </w:p>
        </w:tc>
        <w:tc>
          <w:tcPr>
            <w:tcW w:type="dxa" w:w="1234"/>
          </w:tcPr>
          <w:p>
            <w:r>
              <w:rPr>
                <w:sz w:val="18"/>
              </w:rPr>
            </w:r>
            <w:r>
              <w:rPr>
                <w:sz w:val="18"/>
              </w:rPr>
              <w:t>0.864</w:t>
            </w:r>
          </w:p>
        </w:tc>
        <w:tc>
          <w:tcPr>
            <w:tcW w:type="dxa" w:w="1234"/>
          </w:tcPr>
          <w:p>
            <w:r>
              <w:rPr>
                <w:sz w:val="18"/>
              </w:rPr>
            </w:r>
            <w:r>
              <w:rPr>
                <w:sz w:val="18"/>
              </w:rPr>
              <w:t>0.93</w:t>
            </w:r>
          </w:p>
        </w:tc>
        <w:tc>
          <w:tcPr>
            <w:tcW w:type="dxa" w:w="1234"/>
          </w:tcPr>
          <w:p>
            <w:r>
              <w:rPr>
                <w:sz w:val="18"/>
              </w:rPr>
            </w:r>
            <w:r>
              <w:rPr>
                <w:sz w:val="18"/>
              </w:rPr>
              <w:t>120</w:t>
            </w:r>
          </w:p>
        </w:tc>
      </w:tr>
      <w:tr>
        <w:tc>
          <w:tcPr>
            <w:tcW w:type="dxa" w:w="1234"/>
          </w:tcPr>
          <w:p>
            <w:r>
              <w:rPr>
                <w:sz w:val="18"/>
              </w:rPr>
            </w:r>
            <w:r>
              <w:rPr>
                <w:sz w:val="18"/>
              </w:rPr>
              <w:t>Hybrid（bge-m3）</w:t>
            </w:r>
          </w:p>
        </w:tc>
        <w:tc>
          <w:tcPr>
            <w:tcW w:type="dxa" w:w="1234"/>
          </w:tcPr>
          <w:p>
            <w:r>
              <w:rPr>
                <w:sz w:val="18"/>
              </w:rPr>
            </w:r>
            <w:r>
              <w:rPr>
                <w:sz w:val="18"/>
              </w:rPr>
              <w:t>0.85</w:t>
            </w:r>
          </w:p>
        </w:tc>
        <w:tc>
          <w:tcPr>
            <w:tcW w:type="dxa" w:w="1234"/>
          </w:tcPr>
          <w:p>
            <w:r>
              <w:rPr>
                <w:sz w:val="18"/>
              </w:rPr>
            </w:r>
            <w:r>
              <w:rPr>
                <w:sz w:val="18"/>
              </w:rPr>
              <w:t>0.05</w:t>
            </w:r>
          </w:p>
        </w:tc>
        <w:tc>
          <w:tcPr>
            <w:tcW w:type="dxa" w:w="1234"/>
          </w:tcPr>
          <w:p>
            <w:r>
              <w:rPr>
                <w:sz w:val="18"/>
              </w:rPr>
            </w:r>
            <w:r>
              <w:rPr>
                <w:sz w:val="18"/>
              </w:rPr>
              <w:t>174</w:t>
            </w:r>
          </w:p>
        </w:tc>
        <w:tc>
          <w:tcPr>
            <w:tcW w:type="dxa" w:w="1234"/>
          </w:tcPr>
          <w:p>
            <w:r>
              <w:rPr>
                <w:sz w:val="18"/>
              </w:rPr>
            </w:r>
            <w:r>
              <w:rPr>
                <w:sz w:val="18"/>
              </w:rPr>
              <w:t>0.890</w:t>
            </w:r>
          </w:p>
        </w:tc>
        <w:tc>
          <w:tcPr>
            <w:tcW w:type="dxa" w:w="1234"/>
          </w:tcPr>
          <w:p>
            <w:r>
              <w:rPr>
                <w:sz w:val="18"/>
              </w:rPr>
            </w:r>
            <w:r>
              <w:rPr>
                <w:sz w:val="18"/>
              </w:rPr>
              <w:t>0.83</w:t>
            </w:r>
          </w:p>
        </w:tc>
        <w:tc>
          <w:tcPr>
            <w:tcW w:type="dxa" w:w="1234"/>
          </w:tcPr>
          <w:p>
            <w:r>
              <w:rPr>
                <w:sz w:val="18"/>
              </w:rPr>
            </w:r>
            <w:r>
              <w:rPr>
                <w:sz w:val="18"/>
              </w:rPr>
              <w:t>120</w:t>
            </w:r>
          </w:p>
        </w:tc>
      </w:tr>
      <w:tr>
        <w:tc>
          <w:tcPr>
            <w:tcW w:type="dxa" w:w="1234"/>
          </w:tcPr>
          <w:p>
            <w:r>
              <w:rPr>
                <w:sz w:val="18"/>
              </w:rPr>
            </w:r>
            <w:r>
              <w:rPr>
                <w:sz w:val="18"/>
              </w:rPr>
              <w:t>Hybrid（bge-m3）</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194</w:t>
            </w:r>
          </w:p>
        </w:tc>
        <w:tc>
          <w:tcPr>
            <w:tcW w:type="dxa" w:w="1234"/>
          </w:tcPr>
          <w:p>
            <w:r>
              <w:rPr>
                <w:sz w:val="18"/>
              </w:rPr>
            </w:r>
            <w:r>
              <w:rPr>
                <w:sz w:val="18"/>
              </w:rPr>
              <w:t>0.907</w:t>
            </w:r>
          </w:p>
        </w:tc>
        <w:tc>
          <w:tcPr>
            <w:tcW w:type="dxa" w:w="1234"/>
          </w:tcPr>
          <w:p>
            <w:r>
              <w:rPr>
                <w:sz w:val="18"/>
              </w:rPr>
            </w:r>
            <w:r>
              <w:rPr>
                <w:sz w:val="18"/>
              </w:rPr>
              <w:t>0.76</w:t>
            </w:r>
          </w:p>
        </w:tc>
        <w:tc>
          <w:tcPr>
            <w:tcW w:type="dxa" w:w="1234"/>
          </w:tcPr>
          <w:p>
            <w:r>
              <w:rPr>
                <w:sz w:val="18"/>
              </w:rPr>
            </w:r>
            <w:r>
              <w:rPr>
                <w:sz w:val="18"/>
              </w:rPr>
              <w:t>180</w:t>
            </w:r>
          </w:p>
        </w:tc>
      </w:tr>
      <w:tr>
        <w:tc>
          <w:tcPr>
            <w:tcW w:type="dxa" w:w="1234"/>
          </w:tcPr>
          <w:p>
            <w:r>
              <w:rPr>
                <w:sz w:val="18"/>
              </w:rPr>
            </w:r>
            <w:r>
              <w:rPr>
                <w:sz w:val="18"/>
              </w:rPr>
              <w:t>Dense（bge-large-en）</w:t>
            </w:r>
          </w:p>
        </w:tc>
        <w:tc>
          <w:tcPr>
            <w:tcW w:type="dxa" w:w="1234"/>
          </w:tcPr>
          <w:p>
            <w:r>
              <w:rPr>
                <w:sz w:val="18"/>
              </w:rPr>
            </w:r>
            <w:r>
              <w:rPr>
                <w:sz w:val="18"/>
              </w:rPr>
              <w:t>0.80</w:t>
            </w:r>
          </w:p>
        </w:tc>
        <w:tc>
          <w:tcPr>
            <w:tcW w:type="dxa" w:w="1234"/>
          </w:tcPr>
          <w:p>
            <w:r>
              <w:rPr>
                <w:sz w:val="18"/>
              </w:rPr>
            </w:r>
            <w:r>
              <w:rPr>
                <w:sz w:val="18"/>
              </w:rPr>
              <w:t>0.10</w:t>
            </w:r>
          </w:p>
        </w:tc>
        <w:tc>
          <w:tcPr>
            <w:tcW w:type="dxa" w:w="1234"/>
          </w:tcPr>
          <w:p>
            <w:r>
              <w:rPr>
                <w:sz w:val="18"/>
              </w:rPr>
            </w:r>
            <w:r>
              <w:rPr>
                <w:sz w:val="18"/>
              </w:rPr>
              <w:t>189</w:t>
            </w:r>
          </w:p>
        </w:tc>
        <w:tc>
          <w:tcPr>
            <w:tcW w:type="dxa" w:w="1234"/>
          </w:tcPr>
          <w:p>
            <w:r>
              <w:rPr>
                <w:sz w:val="18"/>
              </w:rPr>
            </w:r>
            <w:r>
              <w:rPr>
                <w:sz w:val="18"/>
              </w:rPr>
              <w:t>0.842</w:t>
            </w:r>
          </w:p>
        </w:tc>
        <w:tc>
          <w:tcPr>
            <w:tcW w:type="dxa" w:w="1234"/>
          </w:tcPr>
          <w:p>
            <w:r>
              <w:rPr>
                <w:sz w:val="18"/>
              </w:rPr>
            </w:r>
            <w:r>
              <w:rPr>
                <w:sz w:val="18"/>
              </w:rPr>
              <w:t>0.86</w:t>
            </w:r>
          </w:p>
        </w:tc>
        <w:tc>
          <w:tcPr>
            <w:tcW w:type="dxa" w:w="1234"/>
          </w:tcPr>
          <w:p>
            <w:r>
              <w:rPr>
                <w:sz w:val="18"/>
              </w:rPr>
            </w:r>
            <w:r>
              <w:rPr>
                <w:sz w:val="18"/>
              </w:rPr>
              <w:t>180</w:t>
            </w:r>
          </w:p>
        </w:tc>
      </w:tr>
      <w:tr>
        <w:tc>
          <w:tcPr>
            <w:tcW w:type="dxa" w:w="1234"/>
          </w:tcPr>
          <w:p>
            <w:r>
              <w:rPr>
                <w:sz w:val="18"/>
              </w:rPr>
            </w:r>
            <w:r>
              <w:rPr>
                <w:sz w:val="18"/>
              </w:rPr>
              <w:t>Dense（bge-large-en）</w:t>
            </w:r>
          </w:p>
        </w:tc>
        <w:tc>
          <w:tcPr>
            <w:tcW w:type="dxa" w:w="1234"/>
          </w:tcPr>
          <w:p>
            <w:r>
              <w:rPr>
                <w:sz w:val="18"/>
              </w:rPr>
            </w:r>
            <w:r>
              <w:rPr>
                <w:sz w:val="18"/>
              </w:rPr>
              <w:t>0.90</w:t>
            </w:r>
          </w:p>
        </w:tc>
        <w:tc>
          <w:tcPr>
            <w:tcW w:type="dxa" w:w="1234"/>
          </w:tcPr>
          <w:p>
            <w:r>
              <w:rPr>
                <w:sz w:val="18"/>
              </w:rPr>
            </w:r>
            <w:r>
              <w:rPr>
                <w:sz w:val="18"/>
              </w:rPr>
              <w:t>0.10</w:t>
            </w:r>
          </w:p>
        </w:tc>
        <w:tc>
          <w:tcPr>
            <w:tcW w:type="dxa" w:w="1234"/>
          </w:tcPr>
          <w:p>
            <w:r>
              <w:rPr>
                <w:sz w:val="18"/>
              </w:rPr>
            </w:r>
            <w:r>
              <w:rPr>
                <w:sz w:val="18"/>
              </w:rPr>
              <w:t>502</w:t>
            </w:r>
          </w:p>
        </w:tc>
        <w:tc>
          <w:tcPr>
            <w:tcW w:type="dxa" w:w="1234"/>
          </w:tcPr>
          <w:p>
            <w:r>
              <w:rPr>
                <w:sz w:val="18"/>
              </w:rPr>
            </w:r>
            <w:r>
              <w:rPr>
                <w:sz w:val="18"/>
              </w:rPr>
              <w:t>0.925</w:t>
            </w:r>
          </w:p>
        </w:tc>
        <w:tc>
          <w:tcPr>
            <w:tcW w:type="dxa" w:w="1234"/>
          </w:tcPr>
          <w:p>
            <w:r>
              <w:rPr>
                <w:sz w:val="18"/>
              </w:rPr>
            </w:r>
            <w:r>
              <w:rPr>
                <w:sz w:val="18"/>
              </w:rPr>
              <w:t>0.94</w:t>
            </w:r>
          </w:p>
        </w:tc>
        <w:tc>
          <w:tcPr>
            <w:tcW w:type="dxa" w:w="1234"/>
          </w:tcPr>
          <w:p>
            <w:r>
              <w:rPr>
                <w:sz w:val="18"/>
              </w:rPr>
            </w:r>
            <w:r>
              <w:rPr>
                <w:sz w:val="18"/>
              </w:rPr>
              <w:t>500</w:t>
            </w:r>
          </w:p>
        </w:tc>
      </w:tr>
      <w:tr>
        <w:tc>
          <w:tcPr>
            <w:tcW w:type="dxa" w:w="1234"/>
          </w:tcPr>
          <w:p>
            <w:r>
              <w:rPr>
                <w:sz w:val="18"/>
              </w:rPr>
            </w:r>
            <w:r>
              <w:rPr>
                <w:sz w:val="18"/>
              </w:rPr>
              <w:t>BM25</w:t>
            </w:r>
          </w:p>
        </w:tc>
        <w:tc>
          <w:tcPr>
            <w:tcW w:type="dxa" w:w="1234"/>
          </w:tcPr>
          <w:p>
            <w:r>
              <w:rPr>
                <w:sz w:val="18"/>
              </w:rPr>
            </w:r>
            <w:r>
              <w:rPr>
                <w:sz w:val="18"/>
              </w:rPr>
              <w:t>0.80</w:t>
            </w:r>
          </w:p>
        </w:tc>
        <w:tc>
          <w:tcPr>
            <w:tcW w:type="dxa" w:w="1234"/>
          </w:tcPr>
          <w:p>
            <w:r>
              <w:rPr>
                <w:sz w:val="18"/>
              </w:rPr>
            </w:r>
            <w:r>
              <w:rPr>
                <w:sz w:val="18"/>
              </w:rPr>
              <w:t>0.05</w:t>
            </w:r>
          </w:p>
        </w:tc>
        <w:tc>
          <w:tcPr>
            <w:tcW w:type="dxa" w:w="1234"/>
          </w:tcPr>
          <w:p>
            <w:r>
              <w:rPr>
                <w:sz w:val="18"/>
              </w:rPr>
            </w:r>
            <w:r>
              <w:rPr>
                <w:sz w:val="18"/>
              </w:rPr>
              <w:t>215</w:t>
            </w:r>
          </w:p>
        </w:tc>
        <w:tc>
          <w:tcPr>
            <w:tcW w:type="dxa" w:w="1234"/>
          </w:tcPr>
          <w:p>
            <w:r>
              <w:rPr>
                <w:sz w:val="18"/>
              </w:rPr>
            </w:r>
            <w:r>
              <w:rPr>
                <w:sz w:val="18"/>
              </w:rPr>
              <w:t>0.777</w:t>
            </w:r>
          </w:p>
        </w:tc>
        <w:tc>
          <w:tcPr>
            <w:tcW w:type="dxa" w:w="1234"/>
          </w:tcPr>
          <w:p>
            <w:r>
              <w:rPr>
                <w:sz w:val="18"/>
              </w:rPr>
            </w:r>
            <w:r>
              <w:rPr>
                <w:sz w:val="18"/>
              </w:rPr>
              <w:t>0.42</w:t>
            </w:r>
          </w:p>
        </w:tc>
        <w:tc>
          <w:tcPr>
            <w:tcW w:type="dxa" w:w="1234"/>
          </w:tcPr>
          <w:p>
            <w:r>
              <w:rPr>
                <w:sz w:val="18"/>
              </w:rPr>
            </w:r>
            <w:r>
              <w:rPr>
                <w:sz w:val="18"/>
              </w:rPr>
              <w:t>350</w:t>
            </w:r>
          </w:p>
        </w:tc>
      </w:tr>
      <w:tr>
        <w:tc>
          <w:tcPr>
            <w:tcW w:type="dxa" w:w="1234"/>
          </w:tcPr>
          <w:p>
            <w:r>
              <w:rPr>
                <w:sz w:val="18"/>
              </w:rPr>
            </w:r>
            <w:r>
              <w:rPr>
                <w:sz w:val="18"/>
              </w:rPr>
              <w:t>BM25</w:t>
            </w:r>
          </w:p>
        </w:tc>
        <w:tc>
          <w:tcPr>
            <w:tcW w:type="dxa" w:w="1234"/>
          </w:tcPr>
          <w:p>
            <w:r>
              <w:rPr>
                <w:sz w:val="18"/>
              </w:rPr>
            </w:r>
            <w:r>
              <w:rPr>
                <w:sz w:val="18"/>
              </w:rPr>
              <w:t>0.90</w:t>
            </w:r>
          </w:p>
        </w:tc>
        <w:tc>
          <w:tcPr>
            <w:tcW w:type="dxa" w:w="1234"/>
          </w:tcPr>
          <w:p>
            <w:r>
              <w:rPr>
                <w:sz w:val="18"/>
              </w:rPr>
            </w:r>
            <w:r>
              <w:rPr>
                <w:sz w:val="18"/>
              </w:rPr>
              <w:t>0.05</w:t>
            </w:r>
          </w:p>
        </w:tc>
        <w:tc>
          <w:tcPr>
            <w:tcW w:type="dxa" w:w="1234"/>
          </w:tcPr>
          <w:p>
            <w:r>
              <w:rPr>
                <w:sz w:val="18"/>
              </w:rPr>
            </w:r>
            <w:r>
              <w:rPr>
                <w:sz w:val="18"/>
              </w:rPr>
              <w:t>285</w:t>
            </w:r>
          </w:p>
        </w:tc>
        <w:tc>
          <w:tcPr>
            <w:tcW w:type="dxa" w:w="1234"/>
          </w:tcPr>
          <w:p>
            <w:r>
              <w:rPr>
                <w:sz w:val="18"/>
              </w:rPr>
            </w:r>
            <w:r>
              <w:rPr>
                <w:sz w:val="18"/>
              </w:rPr>
              <w:t>0.794</w:t>
            </w:r>
          </w:p>
        </w:tc>
        <w:tc>
          <w:tcPr>
            <w:tcW w:type="dxa" w:w="1234"/>
          </w:tcPr>
          <w:p>
            <w:r>
              <w:rPr>
                <w:sz w:val="18"/>
              </w:rPr>
            </w:r>
            <w:r>
              <w:rPr>
                <w:sz w:val="18"/>
              </w:rPr>
              <w:t>0.00</w:t>
            </w:r>
          </w:p>
        </w:tc>
        <w:tc>
          <w:tcPr>
            <w:tcW w:type="dxa" w:w="1234"/>
          </w:tcPr>
          <w:p>
            <w:r>
              <w:rPr>
                <w:sz w:val="18"/>
              </w:rPr>
            </w:r>
            <w:r>
              <w:rPr>
                <w:sz w:val="18"/>
              </w:rPr>
              <w:t>1500</w:t>
            </w:r>
          </w:p>
        </w:tc>
      </w:tr>
    </w:tbl>
    <w:p>
      <w:r>
        <w:t>三条结论。</w:t>
      </w:r>
      <w:r>
        <w:rPr>
          <w:b/>
        </w:rPr>
        <w:t>第一</w:t>
      </w:r>
      <w:r>
        <w:t>，在最强检索器上 20 条标注就够：预测预算落在最优预算的 1.1–1.6 倍内， 目标达成率 76%–93%。</w:t>
      </w:r>
      <w:r>
        <w:rPr>
          <w:b/>
        </w:rPr>
        <w:t>第二</w:t>
      </w:r>
      <w:r>
        <w:t>，校准是检索器相关的：把 bge-m3 换成 bge-large-en 后预测误差变大， 0.85 目标的达标率从 0.83 掉到 0.33，换模型必须重标定。</w:t>
      </w:r>
      <w:r>
        <w:rPr>
          <w:b/>
        </w:rPr>
        <w:t>第三</w:t>
      </w:r>
      <w:r>
        <w:t>，协议必须能</w:t>
      </w:r>
      <w:r>
        <w:rPr>
          <w:b/>
        </w:rPr>
        <w:t>拒绝不可达目标</w:t>
      </w:r>
      <w:r>
        <w:t>： BM25 在该语料上任何预算都到不了约 0.85 以上，若仍返回一个数字，就是对用户做出系统兑现不了的承诺。</w:t>
      </w:r>
    </w:p>
    <w:p>
      <w:pPr>
        <w:pStyle w:val="Heading2"/>
      </w:pPr>
      <w:r>
        <w:t>6.11 第二个预算为什么不咬合</w:t>
      </w:r>
    </w:p>
    <w:p>
      <w:r>
        <w:t>真实系统同时受 token、延迟与钱约束，因此会有人问：只用标量预算是不是把问题简化了？ 本文在 143 题上实测检索侧：BM25 16 ms、向量检索 42 ms（含查询编码）、混合检索 69 ms， 而生成 p50 为 898 ms（6.8 节）。检索最多占端到端 7.2%，且三个成本维度在本设定下共线： 钱是 token 的固定倍数，prefill 延迟与上下文长度近似线性，不同检索器之间 16–70 ms 的差异 不足以撼动延迟预算。</w:t>
      </w:r>
    </w:p>
    <w:p>
      <w:r>
        <w:t>唯一有不同成本向量的动作是查询改写：它同时增加 token 与约 870 ms 延迟，而在这批题上 召回还下降了（0.902 对 0.937），因此在任何二维预算下都被支配。第二个维度只有在某个组件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：跑了 BEIR 三个子集，节省应读作区间（7%–21%），不是一个普适数值。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