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7–27%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w:t>
      </w:r>
    </w:p>
    <w:p>
      <w:r>
        <w:t xml:space="preserve">Three revised conclusions. First, the transferable gain is </w:t>
      </w:r>
      <w:r>
        <w:rPr>
          <w:b/>
        </w:rPr>
        <w:t>difficulty-adaptive depth</w:t>
      </w:r>
      <w:r>
        <w:t xml:space="preserve">: at equal recall or hit rate it saves 7%-27% of context, with the saving tracking document length (27% on scifact's long abstracts, 7% on nfcorpus's short ones).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(0.937) and the transferable gain is the 7–27% context saving of Section 6.9. </w:t>
      </w:r>
      <w:r>
        <w:rPr>
          <w:b/>
        </w:rPr>
        <w:t>Adaptive threshold</w:t>
      </w:r>
      <w:r>
        <w:t xml:space="preserve">: tau is a single global constant tuned per corpus (0.12 on scifact, 0.20 on nfcorpus), and per-query calibration is left open. </w:t>
      </w:r>
      <w:r>
        <w:rPr>
          <w:b/>
        </w:rPr>
        <w:t>Public benchmarks</w:t>
      </w:r>
      <w:r>
        <w:t>: only two BEIR subsets were run, so the saving should be read as a range (7–27%),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