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and a safety margin, the calibrated budget lands within 1.1-1.6x of the oracle and meets the target 76-93% of the time,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threefold.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We turn the budget into a user-facing interface: given a quality target, a calibration protocol with</w:t>
      </w:r>
    </w:p>
    <w:p>
      <w:r>
        <w:t>twenty labelled questions predicts the required budget, reports a reach rate, and refuses targets above what the retriever can deliver (Section 6.10).</w:t>
      </w:r>
    </w:p>
    <w:p>
      <w:pPr>
        <w:pStyle w:val="ListNumber"/>
      </w:pPr>
      <w:r>
        <w:t>On a 200-query retrieval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7–21% fewer context tokens,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(0.922 against 0.647 at a 300-token budget). The system therefore selects granularity per corpus: sentence level when ctx &lt; 500 </w:t>
      </w:r>
      <w:r>
        <w:rPr>
          <w:b/>
        </w:rPr>
        <w:t>and</w:t>
      </w:r>
      <w:r>
        <w:t xml:space="preserve"> the corpus is short-sentence,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two BEIR subsets for public-protocol validation.</w:t>
      </w:r>
    </w:p>
    <w:p>
      <w:r>
        <w:rPr>
          <w:b/>
        </w:rPr>
        <w:t>Internal benchmark (143 questions, document-level recall)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 (alpha=0.2)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Ours (difficulty-adaptive, 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 (300 queries, document level)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mean tokens</w:t>
            </w:r>
          </w:p>
        </w:tc>
      </w:tr>
      <w:tr>
        <w:tc>
          <w:tcPr>
            <w:tcW w:type="dxa" w:w="2160"/>
          </w:tcPr>
          <w:p>
            <w:r>
              <w:rPr>
                <w:sz w:val="18"/>
              </w:rPr>
            </w:r>
            <w:r>
              <w:rPr>
                <w:sz w:val="18"/>
              </w:rPr>
              <w:t>Fixed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Fixed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Adaptive tau=0.12 (k=3/10)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 (-27%)</w:t>
            </w:r>
          </w:p>
        </w:tc>
      </w:tr>
    </w:tbl>
    <w:p>
      <w:r>
        <w:rPr>
          <w:b/>
        </w:rPr>
        <w:t>BEIR nfcorpus (150 queries)</w:t>
      </w:r>
      <w:r>
        <w:t>: adaptive tau=0.20 (k=4/10) yields nDCG 0.3725, hit 0.740 and 3218 tokens, 7% below fixed k=10. The threshold need not be tuned per corpus. Setting tau to the (1 - rho) quantile of the run's own margin distribution turns the knob into "the fraction of queries we are willing to treat as easy": on scifact, rho = 0.3 gives tau = 0.149, keeps nDCG@10 at 0.7095 and hit@k at 0.850, and uses 2589 tokens instead of 3264 (21% saving); on nfcorpus only rho = 0.1 is safe (7% saving), because its margins are flatter and reclassifying more queries as easy costs accuracy.</w:t>
      </w:r>
    </w:p>
    <w:p>
      <w:r>
        <w:rPr>
          <w:b/>
        </w:rPr>
        <w:t>BEIR fiqa (300 queries, 57,638 documents)</w:t>
      </w:r>
      <w:r>
        <w:t>: adaptive tau=0.12 (k=4/10) keeps hit@k at 0.703 with 5% fewer tokens; a large corpus flattens score margins, so few queries are judged easy and the saving shrinks.</w:t>
      </w:r>
    </w:p>
    <w:p>
      <w:r>
        <w:t xml:space="preserve">Three revised conclusions. First, the transferable gain is </w:t>
      </w:r>
      <w:r>
        <w:rPr>
          <w:b/>
        </w:rPr>
        <w:t>difficulty-adaptive depth</w:t>
      </w:r>
      <w:r>
        <w:t xml:space="preserve">: at equal recall or hit rate it saves 7%-21% of context under a single calibrated knob, the saving tracking how many queries can be answered confidently (21% on scifact, 7% on nfcorpus, 7% on fiqa, where a 57k-document corpus flattens the score margins).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0.647 against 0.922 for fixed blocks, and gated rewriting 0.902 against 0.922,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that the budget framing makes explicit, and it can be solved with a handful of labelled questions.</w:t>
      </w:r>
    </w:p>
    <w:p>
      <w:r>
        <w:rPr>
          <w:b/>
        </w:rPr>
        <w:t>Protocol.</w:t>
      </w:r>
      <w:r>
        <w:t xml:space="preserve"> Sample N labelled questions (N = 20), record for each the smallest budget at which the answer span enters the context, fit a saturating curve recall(B) = R_inf(1 - exp(-B/s)), and invert it for the budget that reaches a target T plus a safety margin delta. A closed-loop step re-checks the prediction on the fitting sample and multiplies the budget by 1.6 (up to three rounds) when the estimate falls short; if T exceeds the retriever's achievable ceiling, the protocol reports the target as unreachable instead of promising it. Thirty random splits separate fitting from evaluation.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Retriever</w:t>
            </w:r>
          </w:p>
        </w:tc>
        <w:tc>
          <w:tcPr>
            <w:tcW w:type="dxa" w:w="1234"/>
          </w:tcPr>
          <w:p>
            <w:r>
              <w:rPr>
                <w:b/>
                <w:sz w:val="18"/>
              </w:rPr>
            </w:r>
            <w:r>
              <w:rPr>
                <w:b/>
                <w:sz w:val="18"/>
              </w:rPr>
              <w:t>Target</w:t>
            </w:r>
          </w:p>
        </w:tc>
        <w:tc>
          <w:tcPr>
            <w:tcW w:type="dxa" w:w="1234"/>
          </w:tcPr>
          <w:p>
            <w:r>
              <w:rPr>
                <w:b/>
                <w:sz w:val="18"/>
              </w:rPr>
            </w:r>
            <w:r>
              <w:rPr>
                <w:b/>
                <w:sz w:val="18"/>
              </w:rPr>
              <w:t>Delta</w:t>
            </w:r>
          </w:p>
        </w:tc>
        <w:tc>
          <w:tcPr>
            <w:tcW w:type="dxa" w:w="1234"/>
          </w:tcPr>
          <w:p>
            <w:r>
              <w:rPr>
                <w:b/>
                <w:sz w:val="18"/>
              </w:rPr>
            </w:r>
            <w:r>
              <w:rPr>
                <w:b/>
                <w:sz w:val="18"/>
              </w:rPr>
              <w:t>Predicted budget</w:t>
            </w:r>
          </w:p>
        </w:tc>
        <w:tc>
          <w:tcPr>
            <w:tcW w:type="dxa" w:w="1234"/>
          </w:tcPr>
          <w:p>
            <w:r>
              <w:rPr>
                <w:b/>
                <w:sz w:val="18"/>
              </w:rPr>
            </w:r>
            <w:r>
              <w:rPr>
                <w:b/>
                <w:sz w:val="18"/>
              </w:rPr>
              <w:t>Actual recall</w:t>
            </w:r>
          </w:p>
        </w:tc>
        <w:tc>
          <w:tcPr>
            <w:tcW w:type="dxa" w:w="1234"/>
          </w:tcPr>
          <w:p>
            <w:r>
              <w:rPr>
                <w:b/>
                <w:sz w:val="18"/>
              </w:rPr>
            </w:r>
            <w:r>
              <w:rPr>
                <w:b/>
                <w:sz w:val="18"/>
              </w:rPr>
              <w:t>Reach rate</w:t>
            </w:r>
          </w:p>
        </w:tc>
        <w:tc>
          <w:tcPr>
            <w:tcW w:type="dxa" w:w="1234"/>
          </w:tcPr>
          <w:p>
            <w:r>
              <w:rPr>
                <w:b/>
                <w:sz w:val="18"/>
              </w:rPr>
            </w:r>
            <w:r>
              <w:rPr>
                <w:b/>
                <w:sz w:val="18"/>
              </w:rPr>
              <w:t>Oracle budget</w:t>
            </w:r>
          </w:p>
        </w:tc>
      </w:tr>
      <w:tr>
        <w:tc>
          <w:tcPr>
            <w:tcW w:type="dxa" w:w="1234"/>
          </w:tcPr>
          <w:p>
            <w:r>
              <w:rPr>
                <w:sz w:val="18"/>
              </w:rPr>
            </w:r>
            <w:r>
              <w:rPr>
                <w:sz w:val="18"/>
              </w:rPr>
              <w:t>Hybrid (bge-m3)</w:t>
            </w:r>
          </w:p>
        </w:tc>
        <w:tc>
          <w:tcPr>
            <w:tcW w:type="dxa" w:w="1234"/>
          </w:tcPr>
          <w:p>
            <w:r>
              <w:rPr>
                <w:sz w:val="18"/>
              </w:rPr>
            </w:r>
            <w:r>
              <w:rPr>
                <w:sz w:val="18"/>
              </w:rPr>
              <w:t>0.80</w:t>
            </w:r>
          </w:p>
        </w:tc>
        <w:tc>
          <w:tcPr>
            <w:tcW w:type="dxa" w:w="1234"/>
          </w:tcPr>
          <w:p>
            <w:r>
              <w:rPr>
                <w:sz w:val="18"/>
              </w:rPr>
            </w:r>
            <w:r>
              <w:rPr>
                <w:sz w:val="18"/>
              </w:rPr>
              <w:t>0.05</w:t>
            </w:r>
          </w:p>
        </w:tc>
        <w:tc>
          <w:tcPr>
            <w:tcW w:type="dxa" w:w="1234"/>
          </w:tcPr>
          <w:p>
            <w:r>
              <w:rPr>
                <w:sz w:val="18"/>
              </w:rPr>
            </w:r>
            <w:r>
              <w:rPr>
                <w:sz w:val="18"/>
              </w:rPr>
              <w:t>139</w:t>
            </w:r>
          </w:p>
        </w:tc>
        <w:tc>
          <w:tcPr>
            <w:tcW w:type="dxa" w:w="1234"/>
          </w:tcPr>
          <w:p>
            <w:r>
              <w:rPr>
                <w:sz w:val="18"/>
              </w:rPr>
            </w:r>
            <w:r>
              <w:rPr>
                <w:sz w:val="18"/>
              </w:rPr>
              <w:t>0.864</w:t>
            </w:r>
          </w:p>
        </w:tc>
        <w:tc>
          <w:tcPr>
            <w:tcW w:type="dxa" w:w="1234"/>
          </w:tcPr>
          <w:p>
            <w:r>
              <w:rPr>
                <w:sz w:val="18"/>
              </w:rPr>
            </w:r>
            <w:r>
              <w:rPr>
                <w:sz w:val="18"/>
              </w:rPr>
              <w:t>0.93</w:t>
            </w:r>
          </w:p>
        </w:tc>
        <w:tc>
          <w:tcPr>
            <w:tcW w:type="dxa" w:w="1234"/>
          </w:tcPr>
          <w:p>
            <w:r>
              <w:rPr>
                <w:sz w:val="18"/>
              </w:rPr>
            </w:r>
            <w:r>
              <w:rPr>
                <w:sz w:val="18"/>
              </w:rPr>
              <w:t>120</w:t>
            </w:r>
          </w:p>
        </w:tc>
      </w:tr>
      <w:tr>
        <w:tc>
          <w:tcPr>
            <w:tcW w:type="dxa" w:w="1234"/>
          </w:tcPr>
          <w:p>
            <w:r>
              <w:rPr>
                <w:sz w:val="18"/>
              </w:rPr>
            </w:r>
            <w:r>
              <w:rPr>
                <w:sz w:val="18"/>
              </w:rPr>
              <w:t>Hybrid (bge-m3)</w:t>
            </w:r>
          </w:p>
        </w:tc>
        <w:tc>
          <w:tcPr>
            <w:tcW w:type="dxa" w:w="1234"/>
          </w:tcPr>
          <w:p>
            <w:r>
              <w:rPr>
                <w:sz w:val="18"/>
              </w:rPr>
            </w:r>
            <w:r>
              <w:rPr>
                <w:sz w:val="18"/>
              </w:rPr>
              <w:t>0.85</w:t>
            </w:r>
          </w:p>
        </w:tc>
        <w:tc>
          <w:tcPr>
            <w:tcW w:type="dxa" w:w="1234"/>
          </w:tcPr>
          <w:p>
            <w:r>
              <w:rPr>
                <w:sz w:val="18"/>
              </w:rPr>
            </w:r>
            <w:r>
              <w:rPr>
                <w:sz w:val="18"/>
              </w:rPr>
              <w:t>0.05</w:t>
            </w:r>
          </w:p>
        </w:tc>
        <w:tc>
          <w:tcPr>
            <w:tcW w:type="dxa" w:w="1234"/>
          </w:tcPr>
          <w:p>
            <w:r>
              <w:rPr>
                <w:sz w:val="18"/>
              </w:rPr>
            </w:r>
            <w:r>
              <w:rPr>
                <w:sz w:val="18"/>
              </w:rPr>
              <w:t>174</w:t>
            </w:r>
          </w:p>
        </w:tc>
        <w:tc>
          <w:tcPr>
            <w:tcW w:type="dxa" w:w="1234"/>
          </w:tcPr>
          <w:p>
            <w:r>
              <w:rPr>
                <w:sz w:val="18"/>
              </w:rPr>
            </w:r>
            <w:r>
              <w:rPr>
                <w:sz w:val="18"/>
              </w:rPr>
              <w:t>0.890</w:t>
            </w:r>
          </w:p>
        </w:tc>
        <w:tc>
          <w:tcPr>
            <w:tcW w:type="dxa" w:w="1234"/>
          </w:tcPr>
          <w:p>
            <w:r>
              <w:rPr>
                <w:sz w:val="18"/>
              </w:rPr>
            </w:r>
            <w:r>
              <w:rPr>
                <w:sz w:val="18"/>
              </w:rPr>
              <w:t>0.83</w:t>
            </w:r>
          </w:p>
        </w:tc>
        <w:tc>
          <w:tcPr>
            <w:tcW w:type="dxa" w:w="1234"/>
          </w:tcPr>
          <w:p>
            <w:r>
              <w:rPr>
                <w:sz w:val="18"/>
              </w:rPr>
            </w:r>
            <w:r>
              <w:rPr>
                <w:sz w:val="18"/>
              </w:rPr>
              <w:t>120</w:t>
            </w:r>
          </w:p>
        </w:tc>
      </w:tr>
      <w:tr>
        <w:tc>
          <w:tcPr>
            <w:tcW w:type="dxa" w:w="1234"/>
          </w:tcPr>
          <w:p>
            <w:r>
              <w:rPr>
                <w:sz w:val="18"/>
              </w:rPr>
            </w:r>
            <w:r>
              <w:rPr>
                <w:sz w:val="18"/>
              </w:rPr>
              <w:t>Hybrid (bge-m3)</w:t>
            </w:r>
          </w:p>
        </w:tc>
        <w:tc>
          <w:tcPr>
            <w:tcW w:type="dxa" w:w="1234"/>
          </w:tcPr>
          <w:p>
            <w:r>
              <w:rPr>
                <w:sz w:val="18"/>
              </w:rPr>
            </w:r>
            <w:r>
              <w:rPr>
                <w:sz w:val="18"/>
              </w:rPr>
              <w:t>0.90</w:t>
            </w:r>
          </w:p>
        </w:tc>
        <w:tc>
          <w:tcPr>
            <w:tcW w:type="dxa" w:w="1234"/>
          </w:tcPr>
          <w:p>
            <w:r>
              <w:rPr>
                <w:sz w:val="18"/>
              </w:rPr>
            </w:r>
            <w:r>
              <w:rPr>
                <w:sz w:val="18"/>
              </w:rPr>
              <w:t>0.05</w:t>
            </w:r>
          </w:p>
        </w:tc>
        <w:tc>
          <w:tcPr>
            <w:tcW w:type="dxa" w:w="1234"/>
          </w:tcPr>
          <w:p>
            <w:r>
              <w:rPr>
                <w:sz w:val="18"/>
              </w:rPr>
            </w:r>
            <w:r>
              <w:rPr>
                <w:sz w:val="18"/>
              </w:rPr>
              <w:t>194</w:t>
            </w:r>
          </w:p>
        </w:tc>
        <w:tc>
          <w:tcPr>
            <w:tcW w:type="dxa" w:w="1234"/>
          </w:tcPr>
          <w:p>
            <w:r>
              <w:rPr>
                <w:sz w:val="18"/>
              </w:rPr>
            </w:r>
            <w:r>
              <w:rPr>
                <w:sz w:val="18"/>
              </w:rPr>
              <w:t>0.907</w:t>
            </w:r>
          </w:p>
        </w:tc>
        <w:tc>
          <w:tcPr>
            <w:tcW w:type="dxa" w:w="1234"/>
          </w:tcPr>
          <w:p>
            <w:r>
              <w:rPr>
                <w:sz w:val="18"/>
              </w:rPr>
            </w:r>
            <w:r>
              <w:rPr>
                <w:sz w:val="18"/>
              </w:rPr>
              <w:t>0.76</w:t>
            </w:r>
          </w:p>
        </w:tc>
        <w:tc>
          <w:tcPr>
            <w:tcW w:type="dxa" w:w="1234"/>
          </w:tcPr>
          <w:p>
            <w:r>
              <w:rPr>
                <w:sz w:val="18"/>
              </w:rPr>
            </w:r>
            <w:r>
              <w:rPr>
                <w:sz w:val="18"/>
              </w:rPr>
              <w:t>180</w:t>
            </w:r>
          </w:p>
        </w:tc>
      </w:tr>
      <w:tr>
        <w:tc>
          <w:tcPr>
            <w:tcW w:type="dxa" w:w="1234"/>
          </w:tcPr>
          <w:p>
            <w:r>
              <w:rPr>
                <w:sz w:val="18"/>
              </w:rPr>
            </w:r>
            <w:r>
              <w:rPr>
                <w:sz w:val="18"/>
              </w:rPr>
              <w:t>Dense (bge-large-en)</w:t>
            </w:r>
          </w:p>
        </w:tc>
        <w:tc>
          <w:tcPr>
            <w:tcW w:type="dxa" w:w="1234"/>
          </w:tcPr>
          <w:p>
            <w:r>
              <w:rPr>
                <w:sz w:val="18"/>
              </w:rPr>
            </w:r>
            <w:r>
              <w:rPr>
                <w:sz w:val="18"/>
              </w:rPr>
              <w:t>0.80</w:t>
            </w:r>
          </w:p>
        </w:tc>
        <w:tc>
          <w:tcPr>
            <w:tcW w:type="dxa" w:w="1234"/>
          </w:tcPr>
          <w:p>
            <w:r>
              <w:rPr>
                <w:sz w:val="18"/>
              </w:rPr>
            </w:r>
            <w:r>
              <w:rPr>
                <w:sz w:val="18"/>
              </w:rPr>
              <w:t>0.10</w:t>
            </w:r>
          </w:p>
        </w:tc>
        <w:tc>
          <w:tcPr>
            <w:tcW w:type="dxa" w:w="1234"/>
          </w:tcPr>
          <w:p>
            <w:r>
              <w:rPr>
                <w:sz w:val="18"/>
              </w:rPr>
            </w:r>
            <w:r>
              <w:rPr>
                <w:sz w:val="18"/>
              </w:rPr>
              <w:t>189</w:t>
            </w:r>
          </w:p>
        </w:tc>
        <w:tc>
          <w:tcPr>
            <w:tcW w:type="dxa" w:w="1234"/>
          </w:tcPr>
          <w:p>
            <w:r>
              <w:rPr>
                <w:sz w:val="18"/>
              </w:rPr>
            </w:r>
            <w:r>
              <w:rPr>
                <w:sz w:val="18"/>
              </w:rPr>
              <w:t>0.842</w:t>
            </w:r>
          </w:p>
        </w:tc>
        <w:tc>
          <w:tcPr>
            <w:tcW w:type="dxa" w:w="1234"/>
          </w:tcPr>
          <w:p>
            <w:r>
              <w:rPr>
                <w:sz w:val="18"/>
              </w:rPr>
            </w:r>
            <w:r>
              <w:rPr>
                <w:sz w:val="18"/>
              </w:rPr>
              <w:t>0.86</w:t>
            </w:r>
          </w:p>
        </w:tc>
        <w:tc>
          <w:tcPr>
            <w:tcW w:type="dxa" w:w="1234"/>
          </w:tcPr>
          <w:p>
            <w:r>
              <w:rPr>
                <w:sz w:val="18"/>
              </w:rPr>
            </w:r>
            <w:r>
              <w:rPr>
                <w:sz w:val="18"/>
              </w:rPr>
              <w:t>180</w:t>
            </w:r>
          </w:p>
        </w:tc>
      </w:tr>
      <w:tr>
        <w:tc>
          <w:tcPr>
            <w:tcW w:type="dxa" w:w="1234"/>
          </w:tcPr>
          <w:p>
            <w:r>
              <w:rPr>
                <w:sz w:val="18"/>
              </w:rPr>
            </w:r>
            <w:r>
              <w:rPr>
                <w:sz w:val="18"/>
              </w:rPr>
              <w:t>Dense (bge-large-en)</w:t>
            </w:r>
          </w:p>
        </w:tc>
        <w:tc>
          <w:tcPr>
            <w:tcW w:type="dxa" w:w="1234"/>
          </w:tcPr>
          <w:p>
            <w:r>
              <w:rPr>
                <w:sz w:val="18"/>
              </w:rPr>
            </w:r>
            <w:r>
              <w:rPr>
                <w:sz w:val="18"/>
              </w:rPr>
              <w:t>0.85</w:t>
            </w:r>
          </w:p>
        </w:tc>
        <w:tc>
          <w:tcPr>
            <w:tcW w:type="dxa" w:w="1234"/>
          </w:tcPr>
          <w:p>
            <w:r>
              <w:rPr>
                <w:sz w:val="18"/>
              </w:rPr>
            </w:r>
            <w:r>
              <w:rPr>
                <w:sz w:val="18"/>
              </w:rPr>
              <w:t>0.10</w:t>
            </w:r>
          </w:p>
        </w:tc>
        <w:tc>
          <w:tcPr>
            <w:tcW w:type="dxa" w:w="1234"/>
          </w:tcPr>
          <w:p>
            <w:r>
              <w:rPr>
                <w:sz w:val="18"/>
              </w:rPr>
            </w:r>
            <w:r>
              <w:rPr>
                <w:sz w:val="18"/>
              </w:rPr>
              <w:t>218</w:t>
            </w:r>
          </w:p>
        </w:tc>
        <w:tc>
          <w:tcPr>
            <w:tcW w:type="dxa" w:w="1234"/>
          </w:tcPr>
          <w:p>
            <w:r>
              <w:rPr>
                <w:sz w:val="18"/>
              </w:rPr>
            </w:r>
            <w:r>
              <w:rPr>
                <w:sz w:val="18"/>
              </w:rPr>
              <w:t>0.856</w:t>
            </w:r>
          </w:p>
        </w:tc>
        <w:tc>
          <w:tcPr>
            <w:tcW w:type="dxa" w:w="1234"/>
          </w:tcPr>
          <w:p>
            <w:r>
              <w:rPr>
                <w:sz w:val="18"/>
              </w:rPr>
            </w:r>
            <w:r>
              <w:rPr>
                <w:sz w:val="18"/>
              </w:rPr>
              <w:t>0.33</w:t>
            </w:r>
          </w:p>
        </w:tc>
        <w:tc>
          <w:tcPr>
            <w:tcW w:type="dxa" w:w="1234"/>
          </w:tcPr>
          <w:p>
            <w:r>
              <w:rPr>
                <w:sz w:val="18"/>
              </w:rPr>
            </w:r>
            <w:r>
              <w:rPr>
                <w:sz w:val="18"/>
              </w:rPr>
              <w:t>250</w:t>
            </w:r>
          </w:p>
        </w:tc>
      </w:tr>
      <w:tr>
        <w:tc>
          <w:tcPr>
            <w:tcW w:type="dxa" w:w="1234"/>
          </w:tcPr>
          <w:p>
            <w:r>
              <w:rPr>
                <w:sz w:val="18"/>
              </w:rPr>
            </w:r>
            <w:r>
              <w:rPr>
                <w:sz w:val="18"/>
              </w:rPr>
              <w:t>Dense (bge-large-en)</w:t>
            </w:r>
          </w:p>
        </w:tc>
        <w:tc>
          <w:tcPr>
            <w:tcW w:type="dxa" w:w="1234"/>
          </w:tcPr>
          <w:p>
            <w:r>
              <w:rPr>
                <w:sz w:val="18"/>
              </w:rPr>
            </w:r>
            <w:r>
              <w:rPr>
                <w:sz w:val="18"/>
              </w:rPr>
              <w:t>0.90</w:t>
            </w:r>
          </w:p>
        </w:tc>
        <w:tc>
          <w:tcPr>
            <w:tcW w:type="dxa" w:w="1234"/>
          </w:tcPr>
          <w:p>
            <w:r>
              <w:rPr>
                <w:sz w:val="18"/>
              </w:rPr>
            </w:r>
            <w:r>
              <w:rPr>
                <w:sz w:val="18"/>
              </w:rPr>
              <w:t>0.10</w:t>
            </w:r>
          </w:p>
        </w:tc>
        <w:tc>
          <w:tcPr>
            <w:tcW w:type="dxa" w:w="1234"/>
          </w:tcPr>
          <w:p>
            <w:r>
              <w:rPr>
                <w:sz w:val="18"/>
              </w:rPr>
            </w:r>
            <w:r>
              <w:rPr>
                <w:sz w:val="18"/>
              </w:rPr>
              <w:t>502</w:t>
            </w:r>
          </w:p>
        </w:tc>
        <w:tc>
          <w:tcPr>
            <w:tcW w:type="dxa" w:w="1234"/>
          </w:tcPr>
          <w:p>
            <w:r>
              <w:rPr>
                <w:sz w:val="18"/>
              </w:rPr>
            </w:r>
            <w:r>
              <w:rPr>
                <w:sz w:val="18"/>
              </w:rPr>
              <w:t>0.925</w:t>
            </w:r>
          </w:p>
        </w:tc>
        <w:tc>
          <w:tcPr>
            <w:tcW w:type="dxa" w:w="1234"/>
          </w:tcPr>
          <w:p>
            <w:r>
              <w:rPr>
                <w:sz w:val="18"/>
              </w:rPr>
            </w:r>
            <w:r>
              <w:rPr>
                <w:sz w:val="18"/>
              </w:rPr>
              <w:t>0.94</w:t>
            </w:r>
          </w:p>
        </w:tc>
        <w:tc>
          <w:tcPr>
            <w:tcW w:type="dxa" w:w="1234"/>
          </w:tcPr>
          <w:p>
            <w:r>
              <w:rPr>
                <w:sz w:val="18"/>
              </w:rPr>
            </w:r>
            <w:r>
              <w:rPr>
                <w:sz w:val="18"/>
              </w:rPr>
              <w:t>500</w:t>
            </w:r>
          </w:p>
        </w:tc>
      </w:tr>
      <w:tr>
        <w:tc>
          <w:tcPr>
            <w:tcW w:type="dxa" w:w="1234"/>
          </w:tcPr>
          <w:p>
            <w:r>
              <w:rPr>
                <w:sz w:val="18"/>
              </w:rPr>
            </w:r>
            <w:r>
              <w:rPr>
                <w:sz w:val="18"/>
              </w:rPr>
              <w:t>BM25</w:t>
            </w:r>
          </w:p>
        </w:tc>
        <w:tc>
          <w:tcPr>
            <w:tcW w:type="dxa" w:w="1234"/>
          </w:tcPr>
          <w:p>
            <w:r>
              <w:rPr>
                <w:sz w:val="18"/>
              </w:rPr>
            </w:r>
            <w:r>
              <w:rPr>
                <w:sz w:val="18"/>
              </w:rPr>
              <w:t>0.80</w:t>
            </w:r>
          </w:p>
        </w:tc>
        <w:tc>
          <w:tcPr>
            <w:tcW w:type="dxa" w:w="1234"/>
          </w:tcPr>
          <w:p>
            <w:r>
              <w:rPr>
                <w:sz w:val="18"/>
              </w:rPr>
            </w:r>
            <w:r>
              <w:rPr>
                <w:sz w:val="18"/>
              </w:rPr>
              <w:t>0.05</w:t>
            </w:r>
          </w:p>
        </w:tc>
        <w:tc>
          <w:tcPr>
            <w:tcW w:type="dxa" w:w="1234"/>
          </w:tcPr>
          <w:p>
            <w:r>
              <w:rPr>
                <w:sz w:val="18"/>
              </w:rPr>
            </w:r>
            <w:r>
              <w:rPr>
                <w:sz w:val="18"/>
              </w:rPr>
              <w:t>215</w:t>
            </w:r>
          </w:p>
        </w:tc>
        <w:tc>
          <w:tcPr>
            <w:tcW w:type="dxa" w:w="1234"/>
          </w:tcPr>
          <w:p>
            <w:r>
              <w:rPr>
                <w:sz w:val="18"/>
              </w:rPr>
            </w:r>
            <w:r>
              <w:rPr>
                <w:sz w:val="18"/>
              </w:rPr>
              <w:t>0.777</w:t>
            </w:r>
          </w:p>
        </w:tc>
        <w:tc>
          <w:tcPr>
            <w:tcW w:type="dxa" w:w="1234"/>
          </w:tcPr>
          <w:p>
            <w:r>
              <w:rPr>
                <w:sz w:val="18"/>
              </w:rPr>
            </w:r>
            <w:r>
              <w:rPr>
                <w:sz w:val="18"/>
              </w:rPr>
              <w:t>0.42</w:t>
            </w:r>
          </w:p>
        </w:tc>
        <w:tc>
          <w:tcPr>
            <w:tcW w:type="dxa" w:w="1234"/>
          </w:tcPr>
          <w:p>
            <w:r>
              <w:rPr>
                <w:sz w:val="18"/>
              </w:rPr>
            </w:r>
            <w:r>
              <w:rPr>
                <w:sz w:val="18"/>
              </w:rPr>
              <w:t>350</w:t>
            </w:r>
          </w:p>
        </w:tc>
      </w:tr>
      <w:tr>
        <w:tc>
          <w:tcPr>
            <w:tcW w:type="dxa" w:w="1234"/>
          </w:tcPr>
          <w:p>
            <w:r>
              <w:rPr>
                <w:sz w:val="18"/>
              </w:rPr>
            </w:r>
            <w:r>
              <w:rPr>
                <w:sz w:val="18"/>
              </w:rPr>
              <w:t>BM25</w:t>
            </w:r>
          </w:p>
        </w:tc>
        <w:tc>
          <w:tcPr>
            <w:tcW w:type="dxa" w:w="1234"/>
          </w:tcPr>
          <w:p>
            <w:r>
              <w:rPr>
                <w:sz w:val="18"/>
              </w:rPr>
            </w:r>
            <w:r>
              <w:rPr>
                <w:sz w:val="18"/>
              </w:rPr>
              <w:t>0.90</w:t>
            </w:r>
          </w:p>
        </w:tc>
        <w:tc>
          <w:tcPr>
            <w:tcW w:type="dxa" w:w="1234"/>
          </w:tcPr>
          <w:p>
            <w:r>
              <w:rPr>
                <w:sz w:val="18"/>
              </w:rPr>
            </w:r>
            <w:r>
              <w:rPr>
                <w:sz w:val="18"/>
              </w:rPr>
              <w:t>0.05</w:t>
            </w:r>
          </w:p>
        </w:tc>
        <w:tc>
          <w:tcPr>
            <w:tcW w:type="dxa" w:w="1234"/>
          </w:tcPr>
          <w:p>
            <w:r>
              <w:rPr>
                <w:sz w:val="18"/>
              </w:rPr>
            </w:r>
            <w:r>
              <w:rPr>
                <w:sz w:val="18"/>
              </w:rPr>
              <w:t>285</w:t>
            </w:r>
          </w:p>
        </w:tc>
        <w:tc>
          <w:tcPr>
            <w:tcW w:type="dxa" w:w="1234"/>
          </w:tcPr>
          <w:p>
            <w:r>
              <w:rPr>
                <w:sz w:val="18"/>
              </w:rPr>
            </w:r>
            <w:r>
              <w:rPr>
                <w:sz w:val="18"/>
              </w:rPr>
              <w:t>0.794</w:t>
            </w:r>
          </w:p>
        </w:tc>
        <w:tc>
          <w:tcPr>
            <w:tcW w:type="dxa" w:w="1234"/>
          </w:tcPr>
          <w:p>
            <w:r>
              <w:rPr>
                <w:sz w:val="18"/>
              </w:rPr>
            </w:r>
            <w:r>
              <w:rPr>
                <w:sz w:val="18"/>
              </w:rPr>
              <w:t>0.00</w:t>
            </w:r>
          </w:p>
        </w:tc>
        <w:tc>
          <w:tcPr>
            <w:tcW w:type="dxa" w:w="1234"/>
          </w:tcPr>
          <w:p>
            <w:r>
              <w:rPr>
                <w:sz w:val="18"/>
              </w:rPr>
            </w:r>
            <w:r>
              <w:rPr>
                <w:sz w:val="18"/>
              </w:rPr>
              <w:t>1500</w:t>
            </w:r>
          </w:p>
        </w:tc>
      </w:tr>
    </w:tbl>
    <w:p>
      <w:r>
        <w:rPr>
          <w:b/>
        </w:rPr>
        <w:t>Reach rate</w:t>
      </w:r>
      <w:r>
        <w:t xml:space="preserve"> is the fraction of splits whose achieved recall met the target; the oracle budget is what the test split actually needs.</w:t>
      </w:r>
    </w:p>
    <w:p>
      <w:pPr>
        <w:jc w:val="center"/>
      </w:pPr>
      <w:r>
        <w:drawing>
          <wp:inline xmlns:a="http://schemas.openxmlformats.org/drawingml/2006/main" xmlns:pic="http://schemas.openxmlformats.org/drawingml/2006/picture">
            <wp:extent cx="5120640" cy="1822601"/>
            <wp:docPr id="4" name="Picture 4"/>
            <wp:cNvGraphicFramePr>
              <a:graphicFrameLocks noChangeAspect="1"/>
            </wp:cNvGraphicFramePr>
            <a:graphic>
              <a:graphicData uri="http://schemas.openxmlformats.org/drawingml/2006/picture">
                <pic:pic>
                  <pic:nvPicPr>
                    <pic:cNvPr id="0" name="fig4-calibration.png"/>
                    <pic:cNvPicPr/>
                  </pic:nvPicPr>
                  <pic:blipFill>
                    <a:blip r:embed="rId12"/>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143-question benchmark; the dashed lines mark the 0.80, 0.85 and 0.90 targets used by the calibration protocol. (B) Reach rate against the safety margin for the hybrid retriever.</w:t>
      </w:r>
    </w:p>
    <w:p>
      <w:r>
        <w:t>Three findings follow. First, on the strongest retriever twenty labelled questions suffice: the predicted budget lands within 1.1-1.6x of the oracle and the target is met 76-93% of the time. Second, calibration is retriever-specific: swapping bge-m3 for bge-large-en widens the prediction error and drops the reach rate for the 0.85 target from 0.83 to 0.33, so a change of retriever requires recalibration. Third, the protocol must refuse unreachable targets: BM25 never exceeds about 0.85 recall on this corpus at any sampled budget, and a calibration that returned a number anyway would be a promise the system cannot keep.</w:t>
      </w:r>
    </w:p>
    <w:p>
      <w:pPr>
        <w:pStyle w:val="Heading2"/>
      </w:pPr>
      <w:r>
        <w:t>6.11 Why a Second Budget Does Not Bind</w:t>
      </w:r>
    </w:p>
    <w:p>
      <w:r>
        <w:t>Real systems are constrained by tokens, latency and money at once, so one may ask whether a scalar budget is an oversimplification. We measured the retrieval side directly on the 143-question benchmark: BM25 takes 16 ms, dense retrieval 42 ms (including query encoding) and hybrid retrieval 69 ms, while generation takes 898 ms at p50 (Section 6.8). Retrieval therefore accounts for at most 7.2% of end-to-end latency, and the three cost dimensions are collinear in this setting: money is a fixed multiple of tokens, prefill latency is close to linear in context length, and the spread across retrievers (16-70 ms) is too small to move a latency budget.</w:t>
      </w:r>
    </w:p>
    <w:p>
      <w:r>
        <w:t>The only action with a distinct cost vector is query rewriting, which adds both tokens and about 870 ms of latency. On this corpus it also lowers recall (0.902 against 0.937),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143-question benchmark, reaching 0.80 recall costs BM25 325 tokens at 17 ms but hybrid retrieval 87 tokens at 77 ms, so 60 ms of retrieval time buys 238 tokens, an exchange rate of </w:t>
      </w:r>
      <w:r>
        <w:rPr>
          <w:b/>
        </w:rPr>
        <w:t>4.0 tokens per millisecond</w:t>
      </w:r>
      <w:r>
        <w:t xml:space="preserve">; at a 0.90 target the same swap saves 810 tokens, or </w:t>
      </w:r>
      <w:r>
        <w:rPr>
          <w:b/>
        </w:rPr>
        <w:t>13.4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512 ms at a 0.80 target and 1743 ms at 0.90, against 57 ms of extra retrieval: a factor of 4 to 17.</w:t>
      </w:r>
    </w:p>
    <w:p>
      <w:r>
        <w:t>The break-even condition is r * p &gt; 1, where r is the exchange rate in tokens per millisecond and p is the prefill cost per token. On this machine 4.0 * 2.15 = 8.6, so the swap always pays. On a GPU where prefill costs about 0.1 ms per token the product falls to 0.4 at a 0.80 target, so the swap stops paying there but remains profitable at 0.90 (1.34). The trade is therefore computable rather than qualitative, and it explains the conclusion of Section 6.11 from the other side: retrieval time is so cheap relative to context that spending it is almost always right.</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7% of context on short-document corpora and 27% on long-abstract corpora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(0.937) and the transferable gain is the 7–27% context saving of Section 6.9. </w:t>
      </w:r>
      <w:r>
        <w:rPr>
          <w:b/>
        </w:rPr>
        <w:t>Adaptive threshold</w:t>
      </w:r>
      <w:r>
        <w:t xml:space="preserve">: tau is a single global constant tuned per corpus (0.12 on scifact, 0.20 on nfcorpus), and per-query calibration is left open. </w:t>
      </w:r>
      <w:r>
        <w:rPr>
          <w:b/>
        </w:rPr>
        <w:t>Public benchmarks</w:t>
      </w:r>
      <w:r>
        <w:t>: three BEIR subsets were run, so the saving should be read as a range (7–21%), not a universal value.</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