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召回，换语料、换生成模型后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固定块在宽预算下更连贯。系统按目标预算自动选择：ctx &lt; 500 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低于报告值。这四条不进入摘要，也不改变第 6 节的主结论。</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