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预算」的保形校准协议：20 条标注题即可让新问题以至少 1−α 的概率被覆盖，混合检索器上经验覆盖与名义值差距不超过 0.015、预算仅 120–276 token；对不可达目标显式拒绝。</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rPr>
          <w:b/>
        </w:rPr>
        <w:t>BEIR（公开口径，文档级）</w:t>
      </w:r>
    </w:p>
    <w:p>
      <w:r>
        <w:t>四个 BEIR 子集走同一条流水线（bge-m3 向量、混合 α=0.2、块大小 200），以固定 k=8 为参照； 自适应配置取「nDCG@10 与参照相差不超过 0.002 的最省 token 配置」，查询全用、不做抽样。</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0.045 以内：0.95→0.922、0.90→0.898、0.85→0.856、0.80→0.820、0.70→0.722、 0.50→0.545（图 5）。唯一的系统性差距在最远端：名义 0.95 时有 43% 的标定样本根本达不到目标， 协议选择</w:t>
      </w:r>
      <w:r>
        <w:rPr>
          <w:b/>
        </w:rPr>
        <w:t>拒绝</w:t>
      </w:r>
      <w:r>
        <w:t>而不是给出一个覆盖不足的预算；在能给出预算的样本里，中位预算是 506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