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500 题合成集的前 200 题上，系统以 126 token 的平均上下文取得 0.960 召回，高于纠正式基线（0.925，179 token）与稠密检索（0.910，115 token）；差异在配对 bootstrap 与 McNemar 检验下显著，且经重复子采样仍成立。在 312 篇官方文档上，混合检索以 300 token 预算取得 0.910 召回，按难度自适应的规则以少 11%–20% 的 token 达到同等召回（bootstrap 95% CI [11.2%, 19.8%]）；在四个 BEIR 子集上，同一规则在同等 nDCG@10 下节省 1%–24% 上下文，并在一个人为构造的对抗子集上失效——这一点如实报告。最后，split conformal 一层把「召回目标」翻译成带覆盖保证的预算：20 条标注题即可让新问题以至少 1−α 的概率被覆盖，混合检索器上经验覆盖与名义值差距不超过 0.015、预算仅 120–276 token；对检索器达不到的目标显式拒绝，而不是许诺。</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p>
      <w:r>
        <w:rPr>
          <w:b/>
        </w:rPr>
        <w:t>表 1</w:t>
      </w:r>
      <w:r>
        <w:t>：代表性自适应检索路线与本文的对照。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0.718）。是否建两套索引是</w:t>
      </w:r>
      <w:r>
        <w:rPr>
          <w:b/>
        </w:rPr>
        <w:t>语料级</w:t>
      </w:r>
      <w:r>
        <w:t>决定：短句语料建双索引，英文文档只建固定块（6.9 节）。两者都可用时，由逐题预算 ctx（单位 token，等于 B）决定：ctx ≤ 500 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若动作可按成本递增排序、且每个动作的收益随置信度单调递减，则最优策略是「置信度落在某段区间就走对应档位」，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p>
      <w:r>
        <w:rPr>
          <w:b/>
        </w:rPr>
        <w:t>表 2</w:t>
      </w:r>
      <w:r>
        <w:t>：受控合成基准上的主结果（500 题、800 token 预算）。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p>
      <w:r>
        <w:rPr>
          <w:b/>
        </w:rPr>
        <w:t>表 3</w:t>
      </w:r>
      <w:r>
        <w:t>：五个 2/3 子采样的稳定性。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p>
      <w:r>
        <w:rPr>
          <w:b/>
        </w:rPr>
        <w:t>表 4</w:t>
      </w:r>
      <w:r>
        <w:t>：消融：逐个去掉组件。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p>
      <w:r>
        <w:rPr>
          <w:b/>
        </w:rPr>
        <w:t>表 5</w:t>
      </w:r>
      <w:r>
        <w:t>：检索收益的跨数据集、跨模型验证（Qwen3-4B，800 token 预算）。</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p>
      <w:r>
        <w:rPr>
          <w:b/>
        </w:rPr>
        <w:t>表 6</w:t>
      </w:r>
      <w:r>
        <w:t>：端到端效率（关闭答案缓存，20 条查询）。</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p>
      <w:r>
        <w:rPr>
          <w:b/>
        </w:rPr>
        <w:t>表 7</w:t>
      </w:r>
      <w:r>
        <w:t>：内部基准：301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p>
      <w:r>
        <w:rPr>
          <w:b/>
        </w:rPr>
        <w:t>表 8</w:t>
      </w:r>
      <w:r>
        <w:t>：BEIR 四个子集（全查询，固定 k=8 为参照）。</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p>
      <w:r>
        <w:rPr>
          <w:b/>
        </w:rPr>
        <w:t>表 9</w:t>
      </w:r>
      <w:r>
        <w:t>：保形校准：三个目标与两个较弱检索器上的覆盖。</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token）明显低于固定 k=8 的 289 token；不过后者是文档级召回 0.904，与答案片段覆盖不是同一指标，因此这一比较只作参考，不构成「同召回更省」的结论。</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p>
      <w:r>
        <w:rPr>
          <w:b/>
        </w:rPr>
        <w:t>表 10</w:t>
      </w:r>
      <w:r>
        <w:t>：所有策略的运行点，含 6.16 节的官方分类器。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p>
      <w:r>
        <w:rPr>
          <w:b/>
        </w:rPr>
        <w:t>表 11</w:t>
      </w:r>
      <w:r>
        <w:t>：官方复杂度分类器在 301 题上的路由结果。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p>
      <w:r>
        <w:rPr>
          <w:b/>
        </w:rPr>
        <w:t>表 12</w:t>
      </w:r>
      <w:r>
        <w:t>：逐题阈值扫描：nDCG@10、token 与相对固定 k=8 的节省。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p>
      <w:r>
        <w:rPr>
          <w:b/>
        </w:rPr>
        <w:t>表 13</w:t>
      </w:r>
      <w:r>
        <w:t>：按间隔四分位的边际收益：各箱内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9 结论</w:t>
      </w:r>
    </w:p>
    <w:p>
      <w:r>
        <w:t>本文把检索深度选择表述为「带预算的子模最大化」：给每个动作标价（多取一块、切混合检索、改写查询、加第二跳）， 在预算下按边际收益排序选取。由此得到两条可实现的推论：改写门限由预算的影子价格决定， 最优级联是一条置信阈值链。受控基准上系统以 126 token 取得 0.960 召回；在 312 篇官方文档上， 300 token 预算取得 0.910 召回，与固定深度在统计上不可区分而上下文省 11%–20%；四个 BEIR 子集上 同等 nDCG@10 下省 1%–24%，并在一个人为构造的对抗子集上失效——这一点如实报告。split conformal 一层 把「召回目标」翻译成带覆盖保证的预算，并对检索器达不到的目标显式拒绝。</w:t>
      </w:r>
    </w:p>
    <w:p>
      <w:r>
        <w:t>本文也写清了间隔何时可信：高把握区且尾部不相对变厚（附录 D），两个反例分别标出每条假设的必要性。 更一般的结论是：上下文预算更适合当作</w:t>
      </w:r>
      <w:r>
        <w:rPr>
          <w:b/>
        </w:rPr>
        <w:t>接口</w:t>
      </w:r>
      <w:r>
        <w:t>而不是超参数——给定目标与二十条标注题， 系统可以证明它承诺的东西，也可以在不能时说出来。</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w:t>
      </w:r>
    </w:p>
    <w:p>
      <w:r>
        <w:rPr>
          <w:b/>
        </w:rPr>
        <w:t>Data Availability Statement.</w:t>
      </w:r>
      <w:r>
        <w:t xml:space="preserve"> 全部代码、评测集与实验脚本位于 https://github.com/mylgtab/budget-rag （MIT 许可，v1.1.0）。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*假设*：(A1) 分数排序即效用排序；(A3) 存在单调递增 g 使 p_1 = g(γ)； (H1) p_1 ≥ 1/2；(H2) ρ 关于 p_1 单调不增。</w:t>
      </w:r>
    </w:p>
    <w:p>
      <w:r>
        <w:t>*定理*：在 A1、A3、H1、H2 下，Δ_1 关于 γ 单调不增。</w:t>
      </w:r>
    </w:p>
    <w:p>
      <w:r>
        <w:t>*证明*：取两道题 q、q'，使 p_1(q) ≤ p_1(q') 且两者 ≥ 1/2。由 H2 得 ρ(q') ≤ ρ(q)。 令 h(p) = p(1−p)，则 Δ_1(q') − Δ_1(q) = ρ(q')h(p_1(q')) − ρ(q)h(p_1(q)) ≤ ρ(q)[h(p_1(q')) − h(p_1(q))]， 因为 ρ(q') ≤ ρ(q) 且 ρ ≥ 0。又 h'(p) = 1−2p ≤ 0 在 [1/2,1] 上成立， 故 h(p_1(q')) ≤ h(p_1(q))，差 ≤ 0。再由 A3（γ 大 ⇒ p_1 大）得 Δ_1 关于 γ 不增。∎</w:t>
      </w:r>
    </w:p>
    <w:p>
      <w:r>
        <w:rPr>
          <w:b/>
        </w:rPr>
        <w:t>D.3 反例 1：A1 + A3 不够。</w:t>
      </w:r>
      <w:r>
        <w:t xml:space="preserve"> 取 p_i ≡ θ（常数），则 ρ = 1、Δ_1 = θ(1−θ)， 故 dΔ_1/dθ = 1−2θ。当 θ &lt; 1/2 时，把握度越高边际收益反而越大，与定理相反。 这就是 H1（高把握区）不可省的原因。注意此例不满足 A2，因此它只说明 A1+A3 不足。</w:t>
      </w:r>
    </w:p>
    <w:p>
      <w:r>
        <w:rPr>
          <w:b/>
        </w:rPr>
        <w:t>D.4 反例 2：H2 是本质条件。</w:t>
      </w:r>
      <w:r>
        <w:t xml:space="preserve"> 取 p_1 = θ、p_2 = θ²，其余 p_i = 0。此时 A1、A2（θ² ≤ θ）、A3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