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104–154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104</w:t>
            </w:r>
          </w:p>
        </w:tc>
        <w:tc>
          <w:tcPr>
            <w:tcW w:type="dxa" w:w="1440"/>
          </w:tcPr>
          <w:p>
            <w:r>
              <w:rPr>
                <w:sz w:val="18"/>
              </w:rPr>
            </w:r>
            <w:r>
              <w:rPr>
                <w:sz w:val="18"/>
              </w:rPr>
              <w:t>0.815</w:t>
            </w:r>
          </w:p>
        </w:tc>
        <w:tc>
          <w:tcPr>
            <w:tcW w:type="dxa" w:w="1440"/>
          </w:tcPr>
          <w:p>
            <w:r>
              <w:rPr>
                <w:sz w:val="18"/>
              </w:rPr>
            </w:r>
            <w:r>
              <w:rPr>
                <w:sz w:val="18"/>
              </w:rPr>
              <w:t>0.800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135</w:t>
            </w:r>
          </w:p>
        </w:tc>
        <w:tc>
          <w:tcPr>
            <w:tcW w:type="dxa" w:w="1440"/>
          </w:tcPr>
          <w:p>
            <w:r>
              <w:rPr>
                <w:sz w:val="18"/>
              </w:rPr>
            </w:r>
            <w:r>
              <w:rPr>
                <w:sz w:val="18"/>
              </w:rPr>
              <w:t>0.850</w:t>
            </w:r>
          </w:p>
        </w:tc>
        <w:tc>
          <w:tcPr>
            <w:tcW w:type="dxa" w:w="1440"/>
          </w:tcPr>
          <w:p>
            <w:r>
              <w:rPr>
                <w:sz w:val="18"/>
              </w:rPr>
            </w:r>
            <w:r>
              <w:rPr>
                <w:sz w:val="18"/>
              </w:rPr>
              <w:t>0.850</w:t>
            </w:r>
          </w:p>
        </w:tc>
        <w:tc>
          <w:tcPr>
            <w:tcW w:type="dxa" w:w="1440"/>
          </w:tcPr>
          <w:p>
            <w:r>
              <w:rPr>
                <w:sz w:val="18"/>
              </w:rPr>
            </w:r>
            <w:r>
              <w:rPr>
                <w:sz w:val="18"/>
              </w:rPr>
              <w:t>0.000</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154</w:t>
            </w:r>
          </w:p>
        </w:tc>
        <w:tc>
          <w:tcPr>
            <w:tcW w:type="dxa" w:w="1440"/>
          </w:tcPr>
          <w:p>
            <w:r>
              <w:rPr>
                <w:sz w:val="18"/>
              </w:rPr>
            </w:r>
            <w:r>
              <w:rPr>
                <w:sz w:val="18"/>
              </w:rPr>
              <w:t>0.894</w:t>
            </w:r>
          </w:p>
        </w:tc>
        <w:tc>
          <w:tcPr>
            <w:tcW w:type="dxa" w:w="1440"/>
          </w:tcPr>
          <w:p>
            <w:r>
              <w:rPr>
                <w:sz w:val="18"/>
              </w:rPr>
            </w:r>
            <w:r>
              <w:rPr>
                <w:sz w:val="18"/>
              </w:rPr>
              <w:t>0.900</w:t>
            </w:r>
          </w:p>
        </w:tc>
        <w:tc>
          <w:tcPr>
            <w:tcW w:type="dxa" w:w="1440"/>
          </w:tcPr>
          <w:p>
            <w:r>
              <w:rPr>
                <w:sz w:val="18"/>
              </w:rPr>
            </w:r>
            <w:r>
              <w:rPr>
                <w:sz w:val="18"/>
              </w:rPr>
              <w:t>−0.006</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156</w:t>
            </w:r>
          </w:p>
        </w:tc>
        <w:tc>
          <w:tcPr>
            <w:tcW w:type="dxa" w:w="1440"/>
          </w:tcPr>
          <w:p>
            <w:r>
              <w:rPr>
                <w:sz w:val="18"/>
              </w:rPr>
            </w:r>
            <w:r>
              <w:rPr>
                <w:sz w:val="18"/>
              </w:rPr>
              <w:t>0.813</w:t>
            </w:r>
          </w:p>
        </w:tc>
        <w:tc>
          <w:tcPr>
            <w:tcW w:type="dxa" w:w="1440"/>
          </w:tcPr>
          <w:p>
            <w:r>
              <w:rPr>
                <w:sz w:val="18"/>
              </w:rPr>
            </w:r>
            <w:r>
              <w:rPr>
                <w:sz w:val="18"/>
              </w:rPr>
              <w:t>0.800</w:t>
            </w:r>
          </w:p>
        </w:tc>
        <w:tc>
          <w:tcPr>
            <w:tcW w:type="dxa" w:w="1440"/>
          </w:tcPr>
          <w:p>
            <w:r>
              <w:rPr>
                <w:sz w:val="18"/>
              </w:rPr>
            </w:r>
            <w:r>
              <w:rPr>
                <w:sz w:val="18"/>
              </w:rPr>
              <w:t>+0.013</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337</w:t>
            </w:r>
          </w:p>
        </w:tc>
        <w:tc>
          <w:tcPr>
            <w:tcW w:type="dxa" w:w="1440"/>
          </w:tcPr>
          <w:p>
            <w:r>
              <w:rPr>
                <w:sz w:val="18"/>
              </w:rPr>
            </w:r>
            <w:r>
              <w:rPr>
                <w:sz w:val="18"/>
              </w:rPr>
              <w:t>0.871</w:t>
            </w:r>
          </w:p>
        </w:tc>
        <w:tc>
          <w:tcPr>
            <w:tcW w:type="dxa" w:w="1440"/>
          </w:tcPr>
          <w:p>
            <w:r>
              <w:rPr>
                <w:sz w:val="18"/>
              </w:rPr>
            </w:r>
            <w:r>
              <w:rPr>
                <w:sz w:val="18"/>
              </w:rPr>
              <w:t>0.900</w:t>
            </w:r>
          </w:p>
        </w:tc>
        <w:tc>
          <w:tcPr>
            <w:tcW w:type="dxa" w:w="1440"/>
          </w:tcPr>
          <w:p>
            <w:r>
              <w:rPr>
                <w:sz w:val="18"/>
              </w:rPr>
            </w:r>
            <w:r>
              <w:rPr>
                <w:sz w:val="18"/>
              </w:rPr>
              <w:t>−0.029</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366</w:t>
            </w:r>
          </w:p>
        </w:tc>
        <w:tc>
          <w:tcPr>
            <w:tcW w:type="dxa" w:w="1440"/>
          </w:tcPr>
          <w:p>
            <w:r>
              <w:rPr>
                <w:sz w:val="18"/>
              </w:rPr>
            </w:r>
            <w:r>
              <w:rPr>
                <w:sz w:val="18"/>
              </w:rPr>
              <w:t>0.800</w:t>
            </w:r>
          </w:p>
        </w:tc>
        <w:tc>
          <w:tcPr>
            <w:tcW w:type="dxa" w:w="1440"/>
          </w:tcPr>
          <w:p>
            <w:r>
              <w:rPr>
                <w:sz w:val="18"/>
              </w:rPr>
            </w:r>
            <w:r>
              <w:rPr>
                <w:sz w:val="18"/>
              </w:rPr>
              <w:t>0.800</w:t>
            </w:r>
          </w:p>
        </w:tc>
        <w:tc>
          <w:tcPr>
            <w:tcW w:type="dxa" w:w="1440"/>
          </w:tcPr>
          <w:p>
            <w:r>
              <w:rPr>
                <w:sz w:val="18"/>
              </w:rPr>
            </w:r>
            <w:r>
              <w:rPr>
                <w:sz w:val="18"/>
              </w:rPr>
              <w:t>0.000</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0.858</w:t>
            </w:r>
          </w:p>
        </w:tc>
        <w:tc>
          <w:tcPr>
            <w:tcW w:type="dxa" w:w="1440"/>
          </w:tcPr>
          <w:p>
            <w:r>
              <w:rPr>
                <w:sz w:val="18"/>
              </w:rPr>
            </w:r>
            <w:r>
              <w:rPr>
                <w:sz w:val="18"/>
              </w:rPr>
              <w:t>0.900</w:t>
            </w:r>
          </w:p>
        </w:tc>
        <w:tc>
          <w:tcPr>
            <w:tcW w:type="dxa" w:w="1440"/>
          </w:tcPr>
          <w:p>
            <w:r>
              <w:rPr>
                <w:sz w:val="18"/>
              </w:rPr>
            </w:r>
            <w:r>
              <w:rPr>
                <w:sz w:val="18"/>
              </w:rPr>
              <w:t>−0.042</w:t>
            </w:r>
          </w:p>
        </w:tc>
      </w:tr>
    </w:tbl>
    <w:p>
      <w:r>
        <w:t>三条结论。</w:t>
      </w:r>
      <w:r>
        <w:rPr>
          <w:b/>
        </w:rPr>
        <w:t>第一</w:t>
      </w:r>
      <w:r>
        <w:t>，在最强检索器上保证成立：三个目标的经验覆盖与名义值差距都在 0.015 以内， 而预算（104–154 token）远低于固定 k=8 达到同召回所需的 294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0.045 以内：0.95→0.922、0.90→0.898、0.85→0.856、0.80→0.820、0.70→0.722、 0.50→0.545（图 5）。唯一的系统性差距在最远端：名义 0.95 时有 43% 的标定样本根本达不到目标， 协议选择</w:t>
      </w:r>
      <w:r>
        <w:rPr>
          <w:b/>
        </w:rPr>
        <w:t>拒绝</w:t>
      </w:r>
      <w:r>
        <w:t>而不是给出一个覆盖不足的预算；在能给出预算的样本里，中位预算是 506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143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143 题上实测检索侧：BM25 16 ms、向量检索 42 ms（含查询编码）、混合检索 69 ms， 而生成 p50 为 898 ms（6.8 节）。检索最多占端到端 7.2%，且三个成本维度在本设定下共线：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召回还下降了（0.902 对 0.937），因此在任何二维预算下都被支配。第二个维度只有在某个组件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143 题上，达到 0.80 召回时 BM25 需要 325 token、耗时 17 ms，而混合检索只需 87 token、77 ms—— </w:t>
      </w:r>
      <w:r>
        <w:rPr>
          <w:b/>
        </w:rPr>
        <w:t>60 ms 检索时间换 238 token，交换率 4.0 token/ms</w:t>
      </w:r>
      <w:r>
        <w:t xml:space="preserve">；目标提到 0.90 时，同样的交换省下 810 token， 即 </w:t>
      </w:r>
      <w:r>
        <w:rPr>
          <w:b/>
        </w:rPr>
        <w:t>13.4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