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that the budget framing makes explicit, and it can be solved with a handful of labelled questions.</w:t>
      </w:r>
    </w:p>
    <w:p>
      <w:r>
        <w:rPr>
          <w:b/>
        </w:rPr>
        <w:t>Protocol.</w:t>
      </w:r>
      <w:r>
        <w:t xml:space="preserve"> Sample N labelled questions (N = 20), record for each the smallest budget at which the answer span enters the context, fit a saturating curve recall(B) = R_inf(1 - exp(-B/s)), and invert it for the budget that reaches a target T plus a safety margin delta. A closed-loop step re-checks the prediction on the fitting sample and multiplies the budget by 1.6 (up to three rounds) when the estimate falls short; if T exceeds the retriever's achievable ceiling, the protocol reports the target as unreachable instead of promising it. Thirty random splits separate fitting from evaluation.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Retriever</w:t>
            </w:r>
          </w:p>
        </w:tc>
        <w:tc>
          <w:tcPr>
            <w:tcW w:type="dxa" w:w="1234"/>
          </w:tcPr>
          <w:p>
            <w:r>
              <w:rPr>
                <w:b/>
                <w:sz w:val="18"/>
              </w:rPr>
            </w:r>
            <w:r>
              <w:rPr>
                <w:b/>
                <w:sz w:val="18"/>
              </w:rPr>
              <w:t>Target</w:t>
            </w:r>
          </w:p>
        </w:tc>
        <w:tc>
          <w:tcPr>
            <w:tcW w:type="dxa" w:w="1234"/>
          </w:tcPr>
          <w:p>
            <w:r>
              <w:rPr>
                <w:b/>
                <w:sz w:val="18"/>
              </w:rPr>
            </w:r>
            <w:r>
              <w:rPr>
                <w:b/>
                <w:sz w:val="18"/>
              </w:rPr>
              <w:t>Delta</w:t>
            </w:r>
          </w:p>
        </w:tc>
        <w:tc>
          <w:tcPr>
            <w:tcW w:type="dxa" w:w="1234"/>
          </w:tcPr>
          <w:p>
            <w:r>
              <w:rPr>
                <w:b/>
                <w:sz w:val="18"/>
              </w:rPr>
            </w:r>
            <w:r>
              <w:rPr>
                <w:b/>
                <w:sz w:val="18"/>
              </w:rPr>
              <w:t>Predicted budget</w:t>
            </w:r>
          </w:p>
        </w:tc>
        <w:tc>
          <w:tcPr>
            <w:tcW w:type="dxa" w:w="1234"/>
          </w:tcPr>
          <w:p>
            <w:r>
              <w:rPr>
                <w:b/>
                <w:sz w:val="18"/>
              </w:rPr>
            </w:r>
            <w:r>
              <w:rPr>
                <w:b/>
                <w:sz w:val="18"/>
              </w:rPr>
              <w:t>Actual recall</w:t>
            </w:r>
          </w:p>
        </w:tc>
        <w:tc>
          <w:tcPr>
            <w:tcW w:type="dxa" w:w="1234"/>
          </w:tcPr>
          <w:p>
            <w:r>
              <w:rPr>
                <w:b/>
                <w:sz w:val="18"/>
              </w:rPr>
            </w:r>
            <w:r>
              <w:rPr>
                <w:b/>
                <w:sz w:val="18"/>
              </w:rPr>
              <w:t>Reach rate</w:t>
            </w:r>
          </w:p>
        </w:tc>
        <w:tc>
          <w:tcPr>
            <w:tcW w:type="dxa" w:w="1234"/>
          </w:tcPr>
          <w:p>
            <w:r>
              <w:rPr>
                <w:b/>
                <w:sz w:val="18"/>
              </w:rPr>
            </w:r>
            <w:r>
              <w:rPr>
                <w:b/>
                <w:sz w:val="18"/>
              </w:rPr>
              <w:t>Oracle budget</w:t>
            </w:r>
          </w:p>
        </w:tc>
      </w:tr>
      <w:tr>
        <w:tc>
          <w:tcPr>
            <w:tcW w:type="dxa" w:w="1234"/>
          </w:tcPr>
          <w:p>
            <w:r>
              <w:rPr>
                <w:sz w:val="18"/>
              </w:rPr>
            </w:r>
            <w:r>
              <w:rPr>
                <w:sz w:val="18"/>
              </w:rPr>
              <w:t>Hybrid (bge-m3)</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139</w:t>
            </w:r>
          </w:p>
        </w:tc>
        <w:tc>
          <w:tcPr>
            <w:tcW w:type="dxa" w:w="1234"/>
          </w:tcPr>
          <w:p>
            <w:r>
              <w:rPr>
                <w:sz w:val="18"/>
              </w:rPr>
            </w:r>
            <w:r>
              <w:rPr>
                <w:sz w:val="18"/>
              </w:rPr>
              <w:t>0.864</w:t>
            </w:r>
          </w:p>
        </w:tc>
        <w:tc>
          <w:tcPr>
            <w:tcW w:type="dxa" w:w="1234"/>
          </w:tcPr>
          <w:p>
            <w:r>
              <w:rPr>
                <w:sz w:val="18"/>
              </w:rPr>
            </w:r>
            <w:r>
              <w:rPr>
                <w:sz w:val="18"/>
              </w:rPr>
              <w:t>0.93</w:t>
            </w:r>
          </w:p>
        </w:tc>
        <w:tc>
          <w:tcPr>
            <w:tcW w:type="dxa" w:w="1234"/>
          </w:tcPr>
          <w:p>
            <w:r>
              <w:rPr>
                <w:sz w:val="18"/>
              </w:rPr>
            </w:r>
            <w:r>
              <w:rPr>
                <w:sz w:val="18"/>
              </w:rPr>
              <w:t>120</w:t>
            </w:r>
          </w:p>
        </w:tc>
      </w:tr>
      <w:tr>
        <w:tc>
          <w:tcPr>
            <w:tcW w:type="dxa" w:w="1234"/>
          </w:tcPr>
          <w:p>
            <w:r>
              <w:rPr>
                <w:sz w:val="18"/>
              </w:rPr>
            </w:r>
            <w:r>
              <w:rPr>
                <w:sz w:val="18"/>
              </w:rPr>
              <w:t>Hybrid (bge-m3)</w:t>
            </w:r>
          </w:p>
        </w:tc>
        <w:tc>
          <w:tcPr>
            <w:tcW w:type="dxa" w:w="1234"/>
          </w:tcPr>
          <w:p>
            <w:r>
              <w:rPr>
                <w:sz w:val="18"/>
              </w:rPr>
            </w:r>
            <w:r>
              <w:rPr>
                <w:sz w:val="18"/>
              </w:rPr>
              <w:t>0.85</w:t>
            </w:r>
          </w:p>
        </w:tc>
        <w:tc>
          <w:tcPr>
            <w:tcW w:type="dxa" w:w="1234"/>
          </w:tcPr>
          <w:p>
            <w:r>
              <w:rPr>
                <w:sz w:val="18"/>
              </w:rPr>
            </w:r>
            <w:r>
              <w:rPr>
                <w:sz w:val="18"/>
              </w:rPr>
              <w:t>0.05</w:t>
            </w:r>
          </w:p>
        </w:tc>
        <w:tc>
          <w:tcPr>
            <w:tcW w:type="dxa" w:w="1234"/>
          </w:tcPr>
          <w:p>
            <w:r>
              <w:rPr>
                <w:sz w:val="18"/>
              </w:rPr>
            </w:r>
            <w:r>
              <w:rPr>
                <w:sz w:val="18"/>
              </w:rPr>
              <w:t>174</w:t>
            </w:r>
          </w:p>
        </w:tc>
        <w:tc>
          <w:tcPr>
            <w:tcW w:type="dxa" w:w="1234"/>
          </w:tcPr>
          <w:p>
            <w:r>
              <w:rPr>
                <w:sz w:val="18"/>
              </w:rPr>
            </w:r>
            <w:r>
              <w:rPr>
                <w:sz w:val="18"/>
              </w:rPr>
              <w:t>0.890</w:t>
            </w:r>
          </w:p>
        </w:tc>
        <w:tc>
          <w:tcPr>
            <w:tcW w:type="dxa" w:w="1234"/>
          </w:tcPr>
          <w:p>
            <w:r>
              <w:rPr>
                <w:sz w:val="18"/>
              </w:rPr>
            </w:r>
            <w:r>
              <w:rPr>
                <w:sz w:val="18"/>
              </w:rPr>
              <w:t>0.83</w:t>
            </w:r>
          </w:p>
        </w:tc>
        <w:tc>
          <w:tcPr>
            <w:tcW w:type="dxa" w:w="1234"/>
          </w:tcPr>
          <w:p>
            <w:r>
              <w:rPr>
                <w:sz w:val="18"/>
              </w:rPr>
            </w:r>
            <w:r>
              <w:rPr>
                <w:sz w:val="18"/>
              </w:rPr>
              <w:t>120</w:t>
            </w:r>
          </w:p>
        </w:tc>
      </w:tr>
      <w:tr>
        <w:tc>
          <w:tcPr>
            <w:tcW w:type="dxa" w:w="1234"/>
          </w:tcPr>
          <w:p>
            <w:r>
              <w:rPr>
                <w:sz w:val="18"/>
              </w:rPr>
            </w:r>
            <w:r>
              <w:rPr>
                <w:sz w:val="18"/>
              </w:rPr>
              <w:t>Hybrid (bge-m3)</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194</w:t>
            </w:r>
          </w:p>
        </w:tc>
        <w:tc>
          <w:tcPr>
            <w:tcW w:type="dxa" w:w="1234"/>
          </w:tcPr>
          <w:p>
            <w:r>
              <w:rPr>
                <w:sz w:val="18"/>
              </w:rPr>
            </w:r>
            <w:r>
              <w:rPr>
                <w:sz w:val="18"/>
              </w:rPr>
              <w:t>0.907</w:t>
            </w:r>
          </w:p>
        </w:tc>
        <w:tc>
          <w:tcPr>
            <w:tcW w:type="dxa" w:w="1234"/>
          </w:tcPr>
          <w:p>
            <w:r>
              <w:rPr>
                <w:sz w:val="18"/>
              </w:rPr>
            </w:r>
            <w:r>
              <w:rPr>
                <w:sz w:val="18"/>
              </w:rPr>
              <w:t>0.76</w:t>
            </w:r>
          </w:p>
        </w:tc>
        <w:tc>
          <w:tcPr>
            <w:tcW w:type="dxa" w:w="1234"/>
          </w:tcPr>
          <w:p>
            <w:r>
              <w:rPr>
                <w:sz w:val="18"/>
              </w:rPr>
            </w:r>
            <w:r>
              <w:rPr>
                <w:sz w:val="18"/>
              </w:rPr>
              <w:t>180</w:t>
            </w:r>
          </w:p>
        </w:tc>
      </w:tr>
      <w:tr>
        <w:tc>
          <w:tcPr>
            <w:tcW w:type="dxa" w:w="1234"/>
          </w:tcPr>
          <w:p>
            <w:r>
              <w:rPr>
                <w:sz w:val="18"/>
              </w:rPr>
            </w:r>
            <w:r>
              <w:rPr>
                <w:sz w:val="18"/>
              </w:rPr>
              <w:t>Dense (bge-large-en)</w:t>
            </w:r>
          </w:p>
        </w:tc>
        <w:tc>
          <w:tcPr>
            <w:tcW w:type="dxa" w:w="1234"/>
          </w:tcPr>
          <w:p>
            <w:r>
              <w:rPr>
                <w:sz w:val="18"/>
              </w:rPr>
            </w:r>
            <w:r>
              <w:rPr>
                <w:sz w:val="18"/>
              </w:rPr>
              <w:t>0.80</w:t>
            </w:r>
          </w:p>
        </w:tc>
        <w:tc>
          <w:tcPr>
            <w:tcW w:type="dxa" w:w="1234"/>
          </w:tcPr>
          <w:p>
            <w:r>
              <w:rPr>
                <w:sz w:val="18"/>
              </w:rPr>
            </w:r>
            <w:r>
              <w:rPr>
                <w:sz w:val="18"/>
              </w:rPr>
              <w:t>0.10</w:t>
            </w:r>
          </w:p>
        </w:tc>
        <w:tc>
          <w:tcPr>
            <w:tcW w:type="dxa" w:w="1234"/>
          </w:tcPr>
          <w:p>
            <w:r>
              <w:rPr>
                <w:sz w:val="18"/>
              </w:rPr>
            </w:r>
            <w:r>
              <w:rPr>
                <w:sz w:val="18"/>
              </w:rPr>
              <w:t>189</w:t>
            </w:r>
          </w:p>
        </w:tc>
        <w:tc>
          <w:tcPr>
            <w:tcW w:type="dxa" w:w="1234"/>
          </w:tcPr>
          <w:p>
            <w:r>
              <w:rPr>
                <w:sz w:val="18"/>
              </w:rPr>
            </w:r>
            <w:r>
              <w:rPr>
                <w:sz w:val="18"/>
              </w:rPr>
              <w:t>0.842</w:t>
            </w:r>
          </w:p>
        </w:tc>
        <w:tc>
          <w:tcPr>
            <w:tcW w:type="dxa" w:w="1234"/>
          </w:tcPr>
          <w:p>
            <w:r>
              <w:rPr>
                <w:sz w:val="18"/>
              </w:rPr>
            </w:r>
            <w:r>
              <w:rPr>
                <w:sz w:val="18"/>
              </w:rPr>
              <w:t>0.86</w:t>
            </w:r>
          </w:p>
        </w:tc>
        <w:tc>
          <w:tcPr>
            <w:tcW w:type="dxa" w:w="1234"/>
          </w:tcPr>
          <w:p>
            <w:r>
              <w:rPr>
                <w:sz w:val="18"/>
              </w:rPr>
            </w:r>
            <w:r>
              <w:rPr>
                <w:sz w:val="18"/>
              </w:rPr>
              <w:t>180</w:t>
            </w:r>
          </w:p>
        </w:tc>
      </w:tr>
      <w:tr>
        <w:tc>
          <w:tcPr>
            <w:tcW w:type="dxa" w:w="1234"/>
          </w:tcPr>
          <w:p>
            <w:r>
              <w:rPr>
                <w:sz w:val="18"/>
              </w:rPr>
            </w:r>
            <w:r>
              <w:rPr>
                <w:sz w:val="18"/>
              </w:rPr>
              <w:t>Dense (bge-large-en)</w:t>
            </w:r>
          </w:p>
        </w:tc>
        <w:tc>
          <w:tcPr>
            <w:tcW w:type="dxa" w:w="1234"/>
          </w:tcPr>
          <w:p>
            <w:r>
              <w:rPr>
                <w:sz w:val="18"/>
              </w:rPr>
            </w:r>
            <w:r>
              <w:rPr>
                <w:sz w:val="18"/>
              </w:rPr>
              <w:t>0.85</w:t>
            </w:r>
          </w:p>
        </w:tc>
        <w:tc>
          <w:tcPr>
            <w:tcW w:type="dxa" w:w="1234"/>
          </w:tcPr>
          <w:p>
            <w:r>
              <w:rPr>
                <w:sz w:val="18"/>
              </w:rPr>
            </w:r>
            <w:r>
              <w:rPr>
                <w:sz w:val="18"/>
              </w:rPr>
              <w:t>0.10</w:t>
            </w:r>
          </w:p>
        </w:tc>
        <w:tc>
          <w:tcPr>
            <w:tcW w:type="dxa" w:w="1234"/>
          </w:tcPr>
          <w:p>
            <w:r>
              <w:rPr>
                <w:sz w:val="18"/>
              </w:rPr>
            </w:r>
            <w:r>
              <w:rPr>
                <w:sz w:val="18"/>
              </w:rPr>
              <w:t>218</w:t>
            </w:r>
          </w:p>
        </w:tc>
        <w:tc>
          <w:tcPr>
            <w:tcW w:type="dxa" w:w="1234"/>
          </w:tcPr>
          <w:p>
            <w:r>
              <w:rPr>
                <w:sz w:val="18"/>
              </w:rPr>
            </w:r>
            <w:r>
              <w:rPr>
                <w:sz w:val="18"/>
              </w:rPr>
              <w:t>0.856</w:t>
            </w:r>
          </w:p>
        </w:tc>
        <w:tc>
          <w:tcPr>
            <w:tcW w:type="dxa" w:w="1234"/>
          </w:tcPr>
          <w:p>
            <w:r>
              <w:rPr>
                <w:sz w:val="18"/>
              </w:rPr>
            </w:r>
            <w:r>
              <w:rPr>
                <w:sz w:val="18"/>
              </w:rPr>
              <w:t>0.33</w:t>
            </w:r>
          </w:p>
        </w:tc>
        <w:tc>
          <w:tcPr>
            <w:tcW w:type="dxa" w:w="1234"/>
          </w:tcPr>
          <w:p>
            <w:r>
              <w:rPr>
                <w:sz w:val="18"/>
              </w:rPr>
            </w:r>
            <w:r>
              <w:rPr>
                <w:sz w:val="18"/>
              </w:rPr>
              <w:t>250</w:t>
            </w:r>
          </w:p>
        </w:tc>
      </w:tr>
      <w:tr>
        <w:tc>
          <w:tcPr>
            <w:tcW w:type="dxa" w:w="1234"/>
          </w:tcPr>
          <w:p>
            <w:r>
              <w:rPr>
                <w:sz w:val="18"/>
              </w:rPr>
            </w:r>
            <w:r>
              <w:rPr>
                <w:sz w:val="18"/>
              </w:rPr>
              <w:t>Dense (bge-large-en)</w:t>
            </w:r>
          </w:p>
        </w:tc>
        <w:tc>
          <w:tcPr>
            <w:tcW w:type="dxa" w:w="1234"/>
          </w:tcPr>
          <w:p>
            <w:r>
              <w:rPr>
                <w:sz w:val="18"/>
              </w:rPr>
            </w:r>
            <w:r>
              <w:rPr>
                <w:sz w:val="18"/>
              </w:rPr>
              <w:t>0.90</w:t>
            </w:r>
          </w:p>
        </w:tc>
        <w:tc>
          <w:tcPr>
            <w:tcW w:type="dxa" w:w="1234"/>
          </w:tcPr>
          <w:p>
            <w:r>
              <w:rPr>
                <w:sz w:val="18"/>
              </w:rPr>
            </w:r>
            <w:r>
              <w:rPr>
                <w:sz w:val="18"/>
              </w:rPr>
              <w:t>0.10</w:t>
            </w:r>
          </w:p>
        </w:tc>
        <w:tc>
          <w:tcPr>
            <w:tcW w:type="dxa" w:w="1234"/>
          </w:tcPr>
          <w:p>
            <w:r>
              <w:rPr>
                <w:sz w:val="18"/>
              </w:rPr>
            </w:r>
            <w:r>
              <w:rPr>
                <w:sz w:val="18"/>
              </w:rPr>
              <w:t>502</w:t>
            </w:r>
          </w:p>
        </w:tc>
        <w:tc>
          <w:tcPr>
            <w:tcW w:type="dxa" w:w="1234"/>
          </w:tcPr>
          <w:p>
            <w:r>
              <w:rPr>
                <w:sz w:val="18"/>
              </w:rPr>
            </w:r>
            <w:r>
              <w:rPr>
                <w:sz w:val="18"/>
              </w:rPr>
              <w:t>0.925</w:t>
            </w:r>
          </w:p>
        </w:tc>
        <w:tc>
          <w:tcPr>
            <w:tcW w:type="dxa" w:w="1234"/>
          </w:tcPr>
          <w:p>
            <w:r>
              <w:rPr>
                <w:sz w:val="18"/>
              </w:rPr>
            </w:r>
            <w:r>
              <w:rPr>
                <w:sz w:val="18"/>
              </w:rPr>
              <w:t>0.94</w:t>
            </w:r>
          </w:p>
        </w:tc>
        <w:tc>
          <w:tcPr>
            <w:tcW w:type="dxa" w:w="1234"/>
          </w:tcPr>
          <w:p>
            <w:r>
              <w:rPr>
                <w:sz w:val="18"/>
              </w:rPr>
            </w:r>
            <w:r>
              <w:rPr>
                <w:sz w:val="18"/>
              </w:rPr>
              <w:t>500</w:t>
            </w:r>
          </w:p>
        </w:tc>
      </w:tr>
      <w:tr>
        <w:tc>
          <w:tcPr>
            <w:tcW w:type="dxa" w:w="1234"/>
          </w:tcPr>
          <w:p>
            <w:r>
              <w:rPr>
                <w:sz w:val="18"/>
              </w:rPr>
            </w:r>
            <w:r>
              <w:rPr>
                <w:sz w:val="18"/>
              </w:rPr>
              <w:t>BM25</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215</w:t>
            </w:r>
          </w:p>
        </w:tc>
        <w:tc>
          <w:tcPr>
            <w:tcW w:type="dxa" w:w="1234"/>
          </w:tcPr>
          <w:p>
            <w:r>
              <w:rPr>
                <w:sz w:val="18"/>
              </w:rPr>
            </w:r>
            <w:r>
              <w:rPr>
                <w:sz w:val="18"/>
              </w:rPr>
              <w:t>0.777</w:t>
            </w:r>
          </w:p>
        </w:tc>
        <w:tc>
          <w:tcPr>
            <w:tcW w:type="dxa" w:w="1234"/>
          </w:tcPr>
          <w:p>
            <w:r>
              <w:rPr>
                <w:sz w:val="18"/>
              </w:rPr>
            </w:r>
            <w:r>
              <w:rPr>
                <w:sz w:val="18"/>
              </w:rPr>
              <w:t>0.42</w:t>
            </w:r>
          </w:p>
        </w:tc>
        <w:tc>
          <w:tcPr>
            <w:tcW w:type="dxa" w:w="1234"/>
          </w:tcPr>
          <w:p>
            <w:r>
              <w:rPr>
                <w:sz w:val="18"/>
              </w:rPr>
            </w:r>
            <w:r>
              <w:rPr>
                <w:sz w:val="18"/>
              </w:rPr>
              <w:t>350</w:t>
            </w:r>
          </w:p>
        </w:tc>
      </w:tr>
      <w:tr>
        <w:tc>
          <w:tcPr>
            <w:tcW w:type="dxa" w:w="1234"/>
          </w:tcPr>
          <w:p>
            <w:r>
              <w:rPr>
                <w:sz w:val="18"/>
              </w:rPr>
            </w:r>
            <w:r>
              <w:rPr>
                <w:sz w:val="18"/>
              </w:rPr>
              <w:t>BM25</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285</w:t>
            </w:r>
          </w:p>
        </w:tc>
        <w:tc>
          <w:tcPr>
            <w:tcW w:type="dxa" w:w="1234"/>
          </w:tcPr>
          <w:p>
            <w:r>
              <w:rPr>
                <w:sz w:val="18"/>
              </w:rPr>
            </w:r>
            <w:r>
              <w:rPr>
                <w:sz w:val="18"/>
              </w:rPr>
              <w:t>0.794</w:t>
            </w:r>
          </w:p>
        </w:tc>
        <w:tc>
          <w:tcPr>
            <w:tcW w:type="dxa" w:w="1234"/>
          </w:tcPr>
          <w:p>
            <w:r>
              <w:rPr>
                <w:sz w:val="18"/>
              </w:rPr>
            </w:r>
            <w:r>
              <w:rPr>
                <w:sz w:val="18"/>
              </w:rPr>
              <w:t>0.00</w:t>
            </w:r>
          </w:p>
        </w:tc>
        <w:tc>
          <w:tcPr>
            <w:tcW w:type="dxa" w:w="1234"/>
          </w:tcPr>
          <w:p>
            <w:r>
              <w:rPr>
                <w:sz w:val="18"/>
              </w:rPr>
            </w:r>
            <w:r>
              <w:rPr>
                <w:sz w:val="18"/>
              </w:rPr>
              <w:t>1500</w:t>
            </w:r>
          </w:p>
        </w:tc>
      </w:tr>
    </w:tbl>
    <w:p>
      <w:r>
        <w:rPr>
          <w:b/>
        </w:rPr>
        <w:t>Reach rate</w:t>
      </w:r>
      <w:r>
        <w:t xml:space="preserve"> is the fraction of splits whose achieved recall met the target; the oracle budget is what the test split actually needs.</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143-question benchmark; the dashed lines mark the 0.80, 0.85 and 0.90 targets used by the calibration protocol. (B) Reach rate against the safety margin for the hybrid retriever.</w:t>
      </w:r>
    </w:p>
    <w:p>
      <w:r>
        <w:t>Three findings follow. First, on the strongest retriever twenty labelled questions suffice: the predicted budget lands within 1.1-1.6x of the oracle and the target is met 76-93% of the time. Second, calibration is retriever-specific: swapping bge-m3 for bge-large-en widens the prediction error and drops the reach rate for the 0.85 target from 0.83 to 0.33, so a change of retriever requires recalibration. Third, the protocol must refuse unreachable targets: BM25 never exceeds about 0.85 recall on this corpus at any sampled budget, and a calibration that returned a number anyway would be a promise the system cannot keep.</w:t>
      </w:r>
    </w:p>
    <w:p>
      <w:pPr>
        <w:pStyle w:val="Heading2"/>
      </w:pPr>
      <w:r>
        <w:t>6.11 Why a Second Budget Does Not Bind</w:t>
      </w:r>
    </w:p>
    <w:p>
      <w:r>
        <w:t>Real systems are constrained by tokens, latency and money at once, so one may ask whether a scalar budget is an oversimplification. We measured the retrieval side directly on the 143-question benchmark: BM25 takes 16 ms, dense retrieval 42 ms (including query encoding) and hybrid retrieval 69 ms, while generation takes 898 ms at p50 (Section 6.8). Retrieval therefore accounts for at most 7.2%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(0.902 against 0.937),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