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56</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66</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What the table does show is that the classifier and our rule occupy opposite ends of the token-recall trade-off: the classifier is cheapest (56-66 tokens), our rule is the most accurate per token at the high-recall end (244 tokens for 0.900), and fixed-depth retrievers pay 318 tokens for either.</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56</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66</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and it is a genuinely strong low-budget baseline: at 66 tokens it reaches 0.844, better than fixed top-3 at 108. It is however dominated once high recall is required, because an A prediction removes the evidence outright, and its routing is fixed -- there is no knob that trades tokens for a target recall. That is precisely the interface Section 6.10 provides and this baseline lacks, which is why the two are complementary rather than competing: the classifier picks a cheap operating point, the conformal protocol certifies a target quality at whatever budget that costs.</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and per-query calibration is left open.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