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104–154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rPr>
          <w:b/>
        </w:rPr>
        <w:t>真实文档上的显著性</w:t>
      </w:r>
      <w:r>
        <w:t>：300 token 预算下，143 题的配对比较是混合结果，本文如实报告。混合检索显著优于 BM25（18 胜 0 负，McNemar p &lt; 0.0001，三组比较经 Holm 校正后仍显著），但与稠密 bge-m3 持平 （5 胜 3 负，p = 0.73），对稠密 bge-large 也未达显著（10 胜 3 负，p = 0.09，Holm 校正后 0.18）。 因此在本语料上系统是「与强稠密检索持平」，而不是超过它；这一设定下的贡献在成本侧，不在准确率侧。</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三条结论。</w:t>
      </w:r>
      <w:r>
        <w:rPr>
          <w:b/>
        </w:rPr>
        <w:t>第一</w:t>
      </w:r>
      <w:r>
        <w:t>，在最强检索器上保证成立：三个目标的经验覆盖与名义值差距都在 0.015 以内， 而预算（104–154 token）远低于固定 k=8 达到同召回所需的 294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143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143 题上，达到 0.80 召回时 BM25 需要 325 token、耗时 17 ms，而混合检索只需 87 token、77 ms—— </w:t>
      </w:r>
      <w:r>
        <w:rPr>
          <w:b/>
        </w:rPr>
        <w:t>60 ms 检索时间换 238 token，交换率 4.0 token/ms</w:t>
      </w:r>
      <w:r>
        <w:t xml:space="preserve">；目标提到 0.90 时，同样的交换省下 810 token， 即 </w:t>
      </w:r>
      <w:r>
        <w:rPr>
          <w:b/>
        </w:rPr>
        <w:t>13.4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143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0.042）；143 题中仅 2 题（1.4%）超过 0.50；最长共享词串中位 2 词、最多 7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143 题中漏掉 9 题。这 9 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143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0.937，贪心在 143/143 题上达到最优， 朴素策略也从未真正超支。原因不在算法而在指标：召回是逐题二值的（答案片段在不在上下文里）， 而 143 题中有 134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