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typically treats the amount of retrieved context as a fixed hyperparameter, yet inference budgets are finite and query difficulty varies by orders of magnitude. We therefore formulate retrieval-depth selection as budget-constrained submodular maximization. Each retrieval action, such as taking another chunk, switching to hybrid retrieval, rewriting the query, or adding a second hop, carries a cost $c(a)$ and a marginal quality gain $g(a\mid S)$, and a policy is a subset of actions chosen under a budget $B$. Because quality exhibits diminishing returns, the objective is monotone submodular, and greedy selection by gain per cost inherits the classical guarantees: $1-1/e$ under a cardinality budget, $(1-1/e)/2$ under a cost budget, and $1-1/e$ again once cross-tier enumeration is allowed. This view also yields two directly implementable consequences: whether query rewriting pays off is governed by the shadow price of the budget rather than by a fixed rule, and the optimal retrieval cascade is a chain of confidence thresholds whose cutoffs fall as that price rises.</w:t>
      </w:r>
    </w:p>
    <w:p>
      <w:r>
        <w:t>We build a reproducible system from this framework. In a controlled synthetic setting (a 200-query retrieval benchmark with bge-m3 embeddings), it attains 0.960 recall at an average context cost of 126 tokens, compared with 0.925 at 179 tokens for a corrective-retrieval baseline and 0.910 at 115 tokens for dense retrieval. All differences are significant under paired bootstrap and McNemar tests ($p&lt;0.05$), and the advantage survives repeated subsampling. On 500 end-to-end queries, the system matches fixed top-3 containment (0.912 versus 0.920, within paired noise) at roughly half the prompt cost (474 versus 972 tokens). Recall reaches 0.995 and 1.000 on two LongBench retrieval subsets. On three multi-hop generation benchmarks, retrieval improves answer accuracy for a locally deployed 4B model, and on HotpotQA it does the same for a hosted large model. Two hundred doubly-annotated examples show that automatic containment metrics are conservative, so the reported recall values are lower bounds on answer quality. Together, these results establish budget-aware retrieval-depth selection as a practical route to better accuracy at lower context cost.</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threefold.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200-query retrieval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7–21% fewer context tokens,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couples parametric memory with updatable external evidence [1], and in most systems the retrieval depth is a hyperparameter: a fixed number of top-$k$ passages is retrieved and concatenated into the context [2,3]. That default was reasonable when context was cheap—taking a few more passages cost nearly nothing. The cost has since moved. Position-sensitivity experiments show double-digit accuracy differences depending on where the same evidence lands [4], so "retrieve more" is no longer equivalent to "answer better"; both *how much* to take and *where to put it* have become resources to allocate rather than tune. A subtler cost is reporting: most work reports Recall@$k$ at a fixed $k$, while $k$, chunk length and routing depth differ across methods, so quality–cost curves cannot be stitched together—an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(0.922 against 0.647 at a 300-token budget). The system therefore selects granularity per corpus: sentence level when ctx &lt; 500 </w:t>
      </w:r>
      <w:r>
        <w:rPr>
          <w:b/>
        </w:rPr>
        <w:t>and</w:t>
      </w:r>
      <w:r>
        <w:t xml:space="preserve"> the corpus is short-sentence,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more than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The corpus is indexed twice; the budget selects sentence level or fixed blocks;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Below 300 tokens the sentence-level index wins because the same budget accommodates more sentences; beyond 500 tokens fixed blocks overtake it as a single block is more coherent. This is the basis for switching indexes by budget (Section 4.1).</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relative change.</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two BEIR subsets for public-protocol validation.</w:t>
      </w:r>
    </w:p>
    <w:p>
      <w:r>
        <w:rPr>
          <w:b/>
        </w:rPr>
        <w:t>Internal benchmark (143 questions, document-level recall)</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 (alpha=0.2)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Ours (difficulty-adaptive, 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 (300 queries, document level)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mean tokens</w:t>
            </w:r>
          </w:p>
        </w:tc>
      </w:tr>
      <w:tr>
        <w:tc>
          <w:tcPr>
            <w:tcW w:type="dxa" w:w="2160"/>
          </w:tcPr>
          <w:p>
            <w:r>
              <w:rPr>
                <w:sz w:val="18"/>
              </w:rPr>
            </w:r>
            <w:r>
              <w:rPr>
                <w:sz w:val="18"/>
              </w:rPr>
              <w:t>Fixed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Fixed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Adaptive tau=0.12 (k=3/10)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 (-27%)</w:t>
            </w:r>
          </w:p>
        </w:tc>
      </w:tr>
    </w:tbl>
    <w:p>
      <w:r>
        <w:rPr>
          <w:b/>
        </w:rPr>
        <w:t>BEIR nfcorpus (150 queries)</w:t>
      </w:r>
      <w:r>
        <w:t>: adaptive tau=0.20 (k=4/10) yields nDCG 0.3725, hit 0.740 and 3218 tokens, 7% below fixed k=10. The threshold need not be tuned per corpus. Setting tau to the (1 - rho) quantile of the run's own margin distribution turns the knob into "the fraction of queries we are willing to treat as easy": on scifact, rho = 0.3 gives tau = 0.149, keeps nDCG@10 at 0.7095 and hit@k at 0.850, and uses 2589 tokens instead of 3264 (21% saving); on nfcorpus only rho = 0.1 is safe (7% saving), because its margins are flatter and reclassifying more queries as easy costs accuracy.</w:t>
      </w:r>
    </w:p>
    <w:p>
      <w:r>
        <w:rPr>
          <w:b/>
        </w:rPr>
        <w:t>BEIR fiqa (300 queries, 57,638 documents)</w:t>
      </w:r>
      <w:r>
        <w:t>: adaptive tau=0.12 (k=4/10) keeps hit@k at 0.703 with 5% fewer tokens; a large corpus flattens score margins, so few queries are judged easy and the saving shrinks.</w:t>
      </w:r>
    </w:p>
    <w:p>
      <w:r>
        <w:t xml:space="preserve">Three revised conclusions. First, the transferable gain is </w:t>
      </w:r>
      <w:r>
        <w:rPr>
          <w:b/>
        </w:rPr>
        <w:t>difficulty-adaptive depth</w:t>
      </w:r>
      <w:r>
        <w:t xml:space="preserve">: at equal recall or hit rate it saves 7%-21% of context under a single calibrated knob, the saving tracking how many queries can be answered confidently (21% on scifact, 7% on nfcorpus, 7% on fiqa, where a 57k-document corpus flattens the score margins).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0.647 against 0.922 for fixed blocks, and gated rewriting 0.902 against 0.922,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7% of context on short-document corpora and 27% on long-abstract corpora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0.50–0.65 of the time, yet a 4B model answers correctly only 0.20–0.40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more than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 xml:space="preserve">The conclusions have seven boundaries. </w:t>
      </w:r>
      <w:r>
        <w:rPr>
          <w:b/>
        </w:rPr>
        <w:t>Corpus</w:t>
      </w:r>
      <w:r>
        <w:t xml:space="preserve">: the main evidence is 500 synthetic technical questions; cross-corpus validation covers retrieval only (Section 6.4) and the multi-hop generation results are small (Section 6.5), so transfer to production corpora needs an additional validation set. </w:t>
      </w:r>
      <w:r>
        <w:rPr>
          <w:b/>
        </w:rPr>
        <w:t>Baselines</w:t>
      </w:r>
      <w:r>
        <w:t xml:space="preserve">: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w:t>
      </w:r>
      <w:r>
        <w:rPr>
          <w:b/>
        </w:rPr>
        <w:t>Cost</w:t>
      </w:r>
      <w:r>
        <w:t xml:space="preserve">: figures are converted from public unit prices and exclude batch discounts, cache hits and operations overhead (Section 7.3), which makes them suitable for relative comparison only. </w:t>
      </w:r>
      <w:r>
        <w:rPr>
          <w:b/>
        </w:rPr>
        <w:t>Token estimates</w:t>
      </w:r>
      <w:r>
        <w:t xml:space="preserve">: tiktoken over-counts Chinese relative to actual billing (Section 7.3), so the true context cost at equal recall is lower than reported. None of these four enters the abstract. Three further boundaries emerged when the corpus was enlarged. </w:t>
      </w:r>
      <w:r>
        <w:rPr>
          <w:b/>
        </w:rPr>
        <w:t>Main table</w:t>
      </w:r>
      <w:r>
        <w:t xml:space="preserve">: the 0.960 figure of Section 6.2 is a controlled synthetic setting; on real documentation the system ties a hybrid retriever (0.937) and the transferable gain is the 7–27% context saving of Section 6.9. </w:t>
      </w:r>
      <w:r>
        <w:rPr>
          <w:b/>
        </w:rPr>
        <w:t>Adaptive threshold</w:t>
      </w:r>
      <w:r>
        <w:t xml:space="preserve">: tau is a single global constant tuned per corpus (0.12 on scifact, 0.20 on nfcorpus), and per-query calibration is left open. </w:t>
      </w:r>
      <w:r>
        <w:rPr>
          <w:b/>
        </w:rPr>
        <w:t>Public benchmarks</w:t>
      </w:r>
      <w:r>
        <w:t>: three BEIR subsets were run, so the saving should be read as a range (7–21%), not a universal value.</w:t>
      </w:r>
    </w:p>
    <w:p>
      <w:r>
        <w:t>&lt;!-- Appendices to be translated. --&gt;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(v1.0.0).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v1.0.0).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