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commonly fixes how much context to retrieve, although queries differ in difficulty and budgets are finite. We formulate retrieval-depth selection as a budget-constrained choice among priced actions: adding a chunk, switching to hybrid retrieval, rewriting the query or taking a second hop. Under monotonicity and diminishing returns the objective is submodular, so greedy selection inherits a $1-1/e$ guarantee with a cardinality budget, $(1-1/e)/2$ with a cost budget, and $1-1/e$ with cross-tier enumeration. The budget's shadow price then decides when rewriting pays off and where a cascade sets its confidence thresholds.</w:t>
      </w:r>
    </w:p>
    <w:p>
      <w:r>
        <w:t>In a controlled synthetic retrieval benchmark of 200 queries, the system reaches 0.960 recall at 126 context tokens, against 0.925 at 179 for a behavioural approximation of corrective retrieval and 0.910 at 115 for dense retrieval ($p&lt;0.05$, bootstrap and McNemar). On 500 synthetic end-to-end queries, containment is 0.912 versus 0.920 for fixed top-3, within paired noise, at 474 versus 972 prompt tokens. Retrieval also improves answer accuracy on three multi-hop benchmarks for a local 4B model and on HotpotQA for a hosted model.</w:t>
      </w:r>
    </w:p>
    <w:p>
      <w:r>
        <w:t>Transfer is selective. Score-margin depth selection saves 1-24% of context tokens at equal nDCG@10 on three of four BEIR subsets but fails on arguana, and neither sentence-level indexing nor gated rewriting transfers to English documentation. A split-conformal protocol maps attainable quality targets to budgets with twenty labelled questions, reports reach rates and declines unreachable targets; empirical coverage stays within 0.015 of nominal at 120-276 tokens on the hybrid retriever. An audit of 200 doubly annotated examples suggests automatic containment can miss valid answers, without proving a lower bound.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grounds language models in external, updatable evidence [1]. Many systems nevertheless retrieve a fixed number of passages [2,3]. That choice can waste context on straightforward queries while leaving harder ones without sufficient evidence. It can also affect the answer in less predictable ways: changing the position of identical evidence has produced double-digit differences in accuracy [4]. More retrieved text is therefore not necessarily better. Nor does Recall@$k$ alone establish a comparable quality-cost trade-off when systems differ in chunk size, routing depth or token use. We use Recall@budget to make retrieval comparisons at matched context budgets (Section 6.1).</w:t>
      </w:r>
    </w:p>
    <w:p>
      <w:r>
        <w:t xml:space="preserve">Existing approaches address parts of this problem. Adaptive retrieval determines whether and how far to retrieve; corrective retrieval responds to inadequate evidence; cost-aware selection prices evidence acquisition; and compression, reranking and rewriting alter the cost, order or candidate pool of evidence (Sections 2.1-2.4). These mechanisms leave a common allocation question: </w:t>
      </w:r>
      <w:r>
        <w:rPr>
          <w:b/>
        </w:rPr>
        <w:t>given a query and a remaining budget, which available action merits the next unit of expenditure?</w:t>
      </w:r>
      <w:r>
        <w:t xml:space="preserve"> The reported brittleness of static selectors further motivates making that decision explicit [12].</w:t>
      </w:r>
    </w:p>
    <w:p>
      <w:r>
        <w:t>We model a retrieval policy as a set $S$ of executable actions, each with cost $c(a)$ and marginal quality gain $g(a\mid S)$, subject to budget $B$. When quality is monotone and gains diminish as actions accumulate, the resulting objective is submodular. Its approximation guarantees are conditional on those properties, rather than guarantees that every retrieval corpus satisfies them. The same formulation links query rewriting to the shadow price of the budget and, under the stated cascade model, yields a chain of confidence thresholds whose cutoffs decline as that price rises. We implement the framework and examine both its controlled performance and its limits on public corpora.</w:t>
      </w:r>
    </w:p>
    <w:p>
      <w:r>
        <w:t>Our contributions are fourfold:</w:t>
      </w:r>
    </w:p>
    <w:p>
      <w:pPr>
        <w:pStyle w:val="ListNumber"/>
      </w:pPr>
      <w:r>
        <w:rPr>
          <w:b/>
        </w:rPr>
        <w:t>A common action model.</w:t>
      </w:r>
      <w:r>
        <w:t xml:space="preserve"> We place chunk selection, hybrid retrieval, query rewriting and</w:t>
      </w:r>
    </w:p>
    <w:p>
      <w:r>
        <w:t>second-hop retrieval in one priced action set. Under the stated conditions, gain-per-cost greedy selection attains the cardinality- and cost-budget guarantees above, with cross-tier enumeration restoring the stronger bound (Sections 3 and 5).</w:t>
      </w:r>
    </w:p>
    <w:p>
      <w:pPr>
        <w:pStyle w:val="ListNumber"/>
      </w:pPr>
      <w:r>
        <w:rPr>
          <w:b/>
        </w:rPr>
        <w:t>A price-dependent rewriting rule.</w:t>
      </w:r>
      <w:r>
        <w:t xml:space="preserve"> We derive the rewriting threshold $\tau^*(\lambda)$</w:t>
      </w:r>
    </w:p>
    <w:p>
      <w:r>
        <w:t>(Propositions 2 and 4). In the reported sweep, increasing the unit-price coefficient from 0.25 to 2 lowers $\tau^*$ from 0.25 to 0 (Section 6.7).</w:t>
      </w:r>
    </w:p>
    <w:p>
      <w:pPr>
        <w:pStyle w:val="ListNumber"/>
      </w:pPr>
      <w:r>
        <w:rPr>
          <w:b/>
        </w:rPr>
        <w:t>A budget interface.</w:t>
      </w:r>
      <w:r>
        <w:t xml:space="preserve"> A twenty-question split-conformal calibration protocol translates attainable</w:t>
      </w:r>
    </w:p>
    <w:p>
      <w:r>
        <w:t>quality targets into budgets, reports their reach rates and declines targets the retriever cannot meet (Section 6.10).</w:t>
      </w:r>
    </w:p>
    <w:p>
      <w:pPr>
        <w:pStyle w:val="ListNumber"/>
      </w:pPr>
      <w:r>
        <w:rPr>
          <w:b/>
        </w:rPr>
        <w:t>An evaluation of performance and transfer.</w:t>
      </w:r>
      <w:r>
        <w:t xml:space="preserve"> A 200-query retrieval benchmark and 500 end-to-end queries assess retrieval and</w:t>
      </w:r>
    </w:p>
    <w:p>
      <w:r>
        <w:t>generation cost; LongBench subsets and multi-hop benchmarks test additional settings. Evaluation on 312 official documentation pages and four BEIR subsets distinguishes transferable score-margin depth selection from sentence-level indexing and gated rewriting, which do not transfer to English documentation. A doubly annotated audit examines the limits of automatic containment metrics (Sections 6.1-6.9).</w:t>
      </w:r>
    </w:p>
    <w:p>
      <w:pPr>
        <w:pStyle w:val="Heading1"/>
      </w:pPr>
      <w:r>
        <w:t>2. Related Work</w:t>
      </w:r>
    </w:p>
    <w:p>
      <w:r>
        <w:t>Retrieval-augmented generation (RAG) combines parametric knowledge with external, updatable evidence [1]. Many systems fix retrieval depth, concatenating a predetermined number of top-$k$ passages retrieved by a sparse or dense retriever into the context [1-3]. This default was reasonable when a few extra passages cost little. Position-sensitivity experiments, however, show double-digit accuracy differences when identical evidence appears at different locations in the context [4]: more retrieved evidence need not improve an answer, and both evidence volume and placement act as resources to allocate rather than parameters to tune. A subtler cost is reporting. Studies typically report Recall@$k$ for a single $k$, although chunk lengths, retrieval depths and token costs differ across methods, so quality-cost curves from different studies cannot be compared directly -- 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p>
      <w:r>
        <w:rPr>
          <w:b/>
        </w:rPr>
        <w:t>Table 1.</w:t>
      </w:r>
      <w:r>
        <w:t xml:space="preserve"> Comparison of representative adaptive-retrieval lines against this work. Table 1 summarises this positioning.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For each query, let $\mathcal{A}$ denote the available retrieval actions and $S \subseteq \mathcal{A}$ the actions selected. Each action $a$ has cost $c(a)$ and marginal gain $g(a \mid S)$ given $S$. We assume that the quality $Q(S)$ is monotone non-decreasing. Under budget $B$, the policy selects an action set by solving</w:t>
      </w:r>
    </w:p>
    <w:p>
      <w:pPr>
        <w:jc w:val="center"/>
      </w:pPr>
      <w:r>
        <w:rPr>
          <w:i/>
        </w:rPr>
        <w:t>\max_{S \subseteq \mathcal{A}} Q(S) \quad \text{subject to} \quad \sum_{a \in S} c(a) \le B .</w:t>
      </w:r>
    </w:p>
    <w:p>
      <w:r>
        <w:t xml:space="preserve">The subsequent results rely on two assumptions. Under </w:t>
      </w:r>
      <w:r>
        <w:rPr>
          <w:b/>
        </w:rPr>
        <w:t>(A1)</w:t>
      </w:r>
      <w:r>
        <w:t xml:space="preserve">, marginal gains diminish: $g(a \mid S) \ge g(a \mid T)$ whenever $S \subseteq T \subseteq \mathcal{A}$ and $a \notin T$. Under </w:t>
      </w:r>
      <w:r>
        <w:rPr>
          <w:b/>
        </w:rPr>
        <w:t>(A2)</w:t>
      </w:r>
      <w:r>
        <w:t>, action costs are additive and independent of execution order.</w:t>
      </w:r>
    </w:p>
    <w:p>
      <w:pPr>
        <w:pStyle w:val="Heading1"/>
      </w:pPr>
      <w:r>
        <w:t>4. Method</w:t>
      </w:r>
    </w:p>
    <w:p>
      <w:r>
        <w:t>Our retrieval layer combines sparse BM25 scoring [2] with dense bi-encoder retrieval [3].</w:t>
      </w:r>
    </w:p>
    <w:p>
      <w:pPr>
        <w:pStyle w:val="Heading2"/>
      </w:pPr>
      <w:r>
        <w:t>4.1 Dual Index and Budgeted Chunk Selection</w:t>
      </w:r>
    </w:p>
    <w:p>
      <w:r>
        <w:t>Long documents are indexed at two granularities (Figure 1). Sentence-level chunks are split on punctuation and contain roughly 15-40 tokens. Fixed blocks use a sliding 200-token window with a 40-token overlap by default. Sentence-level indexing keeps unrelated sentences out of a retrieved chunk, which benefits short-sentence corpora such as the Chinese technical notes in Section 6.2; fixed blocks preserve a coherent window and perform better on English documentation, reaching 0.910 versus 0.718 at a 300-token budget (Section 6.9). Whether both indexes are built is therefore a corpus-level decision: short-sentence corpora are dual-indexed, while English documentation is indexed with fixed blocks only. When both exist, the per-query budget $ctx$ (in tokens, equal to $B$) selects sentence level for $ctx \le 500$ and fixed blocks otherwise.</w:t>
      </w:r>
    </w:p>
    <w:p>
      <w:r>
        <w:t>Chunks are added in descending retrieval-score order until the selected chunks reach the token budget $B$, without imposing a fixed top-$k$ cutoff. Section 6.9 qualifies this design: on real corpora the truncation behaves like a well-chosen fixed $k$, and an operational difference appears only when retrieval depth is chosen per query from the score margin.</w:t>
      </w:r>
    </w:p>
    <w:p>
      <w:pPr>
        <w:pStyle w:val="Heading2"/>
      </w:pPr>
      <w:r>
        <w:t>4.2 Cascade Routing</w:t>
      </w:r>
    </w:p>
    <w:p>
      <w:r>
        <w:t>Routing has three tiers, defined by the admissible cost per thousand tokens. Very tight budgets (&lt; 0.002 CNY) select one BM25 chunk, medium budgets (0.002-0.01 CNY) select two, and generous budgets ($\ge$ 0.01 CNY) select five chunks from hybrid retrieval. These tiers discretize the greedy allocation of Proposition 1 and correspond to the knee of the gain-per-cost curve.</w:t>
      </w:r>
    </w:p>
    <w:p>
      <w:pPr>
        <w:pStyle w:val="Heading2"/>
      </w:pPr>
      <w:r>
        <w:t>4.3 Confidence-Gated Query Rewriting</w:t>
      </w:r>
    </w:p>
    <w:p>
      <w:r>
        <w:t>Because rewriting accounts for about half of end-to-end latency (Section 6.8), we invoke it only when needed. An initial low-cost retrieval provides the relative margin between the top two scores,</w:t>
      </w:r>
    </w:p>
    <w:p>
      <w:pPr>
        <w:jc w:val="center"/>
      </w:pPr>
      <w:r>
        <w:rPr>
          <w:i/>
        </w:rPr>
        <w:t>\gamma = \frac{s_1 - s_2}{s_1}.</w:t>
      </w:r>
    </w:p>
    <w:p>
      <w:r>
        <w:t>When $\gamma &lt; \tau$ the retrieval is treated as uncertain: the query is rewritten and retrieval is repeated with "original question + rewrite terms". The shadow price of the budget determines the optimal threshold (Proposition 2); the default $\tau = 0.25$ corresponds to pricing a rewrite at about one strong retrieval. Section 6.7 confirms that $\tau$ falls as the unit price rises.</w:t>
      </w:r>
    </w:p>
    <w:p>
      <w:pPr>
        <w:pStyle w:val="Heading2"/>
      </w:pPr>
      <w:r>
        <w:t>4.4 Multi-Hop Extension</w:t>
      </w:r>
    </w:p>
    <w:p>
      <w:r>
        <w:t>For questions that need two pieces of evidence, a second retrieval hop is added. After the first hop, the model receives the question plus a summary of the retrieved material and identifies what is still missing; the second hop then searches for "original question + supplementary query", and the two result sets are merged with chunk-level deduplication. The supplementary query is model-generated rather than extracted by a fixed rule, so it can name the missing entity directly.</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Short-sentence corpora are indexed twice (sentence level and fixed blocks) and English documentation is indexed with fixed blocks only; when both exist, the per-query budget decides which one is used (Section 4.1).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t>This section states four consequences of the formulation in Section 3. Propositions 1 and 4 are proved below; Propositions 2 and 3 follow from the shadow-price view and are used operationally in Sections 4.2-4.3.</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and measure the gap to the brute-force optimum in Appendix A.</w:t>
      </w:r>
    </w:p>
    <w:p>
      <w:r>
        <w:rPr>
          <w:b/>
        </w:rPr>
        <w:t>Proposition 2 (rewriting gate).</w:t>
      </w:r>
      <w:r>
        <w:t xml:space="preserve"> Let $q_0$ and $q_1$ be the quality without and with rewriting, $p$ the probability that rewriting helps, and $c_r$ its cost. Rewriting pays off exactly when $p(q_1 - q_0) &gt; \lambda c_r$, where $\lambda$ is the shadow price of the budget. Equivalently, rewriting is triggered below a confidence threshold that is solved from $\lambda$ rather than fixed at 0.25 (Section 4.3).</w:t>
      </w:r>
    </w:p>
    <w:p>
      <w:r>
        <w:rPr>
          <w:b/>
        </w:rPr>
        <w:t>Proposition 3 (cascade threshold chain).</w:t>
      </w:r>
      <w:r>
        <w:t xml:space="preserve"> Suppose the actions can be ordered by increasing cost, and that the gain of each action decreases monotonically with confidence. Then the optimal policy assigns each confidence interval to one tier -- a threshold chain -- 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 = p(\gamma)\Delta q(\gamma)$ is non-increasing in the retrieval confidence $\gamma$. Then the optimal threshold satisfies $B(\tau^*) = \lambda c_r$, and $\tau^*(\lambda)$ is non-increasing in $\lambda$.</w:t>
      </w:r>
    </w:p>
    <w:p>
      <w:r>
        <w:t>*Proof.* By Proposition 2 the criterion for rewriting is $B(\gamma) &gt; \lambda c_r$. A3 makes $B$ non-increasing, so the confidences that satisfy the criterion form an interval $[0, \tau^*)$. As $\lambda$ grows, the right-hand side $\lambda c_r$ grows, the feasible set shrinks, and $\tau^*$ therefore does not increase. At the boundaries, $\lambda c_r \ge B(0)$ gives $\tau^* = 0$ (never rewrite) and $\lambda c_r \le B(1)$ gives $\tau^* = 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Metrics.</w:t>
      </w:r>
      <w:r>
        <w:t xml:space="preserve"> Throughout, *recall@budget* is measured under a matched token budget rather than at a fixed depth: chunks are taken in rank order until their cumulative token count reaches the budget $B$, and a query counts as retrieved when the gold answer span appears in the selected chunks (for BEIR we use document-level relevance and report nDCG@10). Token counts are produced by the tokenizer of the reference model, so a passage of the same text costs the same across methods; monetary cost is read from the API-reported usage. Reporting at a matched budget is what makes two methods comparable when their chunk sizes, depths and token accounting differ.</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200-query subset of the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p>
      <w:r>
        <w:rPr>
          <w:b/>
        </w:rPr>
        <w:t>Table 2.</w:t>
      </w:r>
      <w:r>
        <w:t xml:space="preserve"> Main results on a 200-query subset of the 500-question synthetic benchmark (800-token budget). Table 2 reports the main comparison.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p>
      <w:r>
        <w:rPr>
          <w:b/>
        </w:rPr>
        <w:t>Table 3.</w:t>
      </w:r>
      <w:r>
        <w:t xml:space="preserve"> Seed stability across five 2/3 subsamples. Table 3 reports the stability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p>
      <w:r>
        <w:rPr>
          <w:b/>
        </w:rPr>
        <w:t>Table 4.</w:t>
      </w:r>
      <w:r>
        <w:t xml:space="preserve"> Ablation: removing each component in turn. Table 4 reports the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across token budgets of 80-800 tokens, on the short-sentence synthetic corpus, for sentence-level chunks and fixed blocks. Sentence-level chunks lead up to 300 tokens (0.912 versus 0.894 at 300) and fixed blocks lead from 500 (0.928 versus 0.918); on English documentation fixed blocks lead at every budget (Section 6.9). The crossover is therefore a property of short-sentence corpora, not a universal rule, and the corpus-level decision of Section 4.1 determines whether it applies.</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change in percentage points.</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p>
      <w:r>
        <w:rPr>
          <w:b/>
        </w:rPr>
        <w:t>Table 5.</w:t>
      </w:r>
      <w:r>
        <w:t xml:space="preserve"> Benefit of retrieval across datasets and models (Qwen3-4B, 800-token budget). Table 5 reports per-dataset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and the corpus consists of twenty-odd distractor passages, with an 800-token budget covering about 11% of it. Whether retrieval caused the decline, or which property of the corpus did, is not identified here; the effect itself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On 200 doubly-annotated items, automatic containment agrees with human judgement 90%–97% of the time, and inter-annotator agreement is 0.548 (unweighted) and 0.673 (quadratic weighted). Agreement alone does not establish the direction of the errors: in our sample the automatic metric misses some valid answers, which suggests the reported recall is conservative, but we do not claim a proven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p>
      <w:r>
        <w:rPr>
          <w:b/>
        </w:rPr>
        <w:t>Table 6.</w:t>
      </w:r>
      <w:r>
        <w:t xml:space="preserve"> End-to-end efficiency on twenty queries with the answer cache disabled. Table 6 reports latency and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p>
      <w:r>
        <w:rPr>
          <w:b/>
        </w:rPr>
        <w:t>Table 7.</w:t>
      </w:r>
      <w:r>
        <w:t xml:space="preserve"> Internal benchmark: 301 questions, document-level recall. Table 7 reports the internal benchmark.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t xml:space="preserve">Paired bootstrapping over the 301 questions puts the recall difference at -0.003 (95% CI [-0.020, +0.010], p = 0.81) and the token saving at </w:t>
      </w:r>
      <w:r>
        <w:rPr>
          <w:b/>
        </w:rPr>
        <w:t>15.5%</w:t>
      </w:r>
      <w:r>
        <w:t xml:space="preserve"> (95% CI [11.2%, 19.8%]): the rule is statistically indistinguishable from fixed k = 8 on quality while using 11-20% fewer tokens. The budget-300 row averages 318 tokens because the final chunk can overshoot the cap; budgets are upper bounds, not exact counts.</w:t>
      </w:r>
    </w:p>
    <w:p>
      <w:r>
        <w:rPr>
          <w:b/>
        </w:rPr>
        <w:t>BEIR (public protocol, document level)</w:t>
      </w:r>
    </w:p>
    <w:p>
      <w:r>
        <w:t>We run four BEIR subsets through the same pipeline (bge-m3 embeddings, hybrid alpha = 0.2, chunk size 200) and use fixed k = 8 as the reference; the adaptive configuration is the cheapest one whose nDCG@10 does not fall more than 0.002 below that baseline (it may exceed it). All queries are used, without subsampling.</w:t>
      </w:r>
    </w:p>
    <w:p>
      <w:r>
        <w:rPr>
          <w:b/>
        </w:rPr>
        <w:t>Table 8.</w:t>
      </w:r>
      <w:r>
        <w:t xml:space="preserve"> BEIR results on four subsets, all queries, fixed k = 8 as reference. Table 8 reports the BEIR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1-24% of context, the saving tracking how many queries can be answered confidently (24% on scifact, 6% on nfcorpus, 1% on fiqa, where a 57k-document corpus flattens the score margins, and none on the adversarial arguana set). Second, </w:t>
      </w:r>
      <w:r>
        <w:rPr>
          <w:b/>
        </w:rPr>
        <w:t>token-based truncation alone carries no advantage</w:t>
      </w:r>
      <w:r>
        <w:t xml:space="preserve">: on the internal benchmark fixed k=8 reaches the same recall within noise as budget-300 truncation (0.904 versus 0.910 at 289 versus 318 tokens), so the difference comes from deciding how many chunks each query needs, not from stopping at a token count. Third, </w:t>
      </w:r>
      <w:r>
        <w:rPr>
          <w:b/>
        </w:rPr>
        <w:t>sentence-level indexing and gated rewriting do not transfer</w:t>
      </w:r>
      <w:r>
        <w:t>: on English documentation, at the same 300-token budget, document-level recall of the sentence index is 0.718 against 0.910 for fixed blocks, and that of gated rewriting is 0.874,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specify a desired answer-span recall, not a token budget. Split-conformal calibration maps a target recall $T$ to a token budget using $N = 20$ labelled questions. For each calibration question we record the minimum budget at which its answer span enters the context, and set the budget to the $\lceil (N+1)(1-\alpha) \rceil$-th smallest recorded value, with $\alpha = 1 - T$. If the selected order statistic is infinite, the protocol reports the target as unreachable rather than returning a finite budget.</w:t>
      </w:r>
    </w:p>
    <w:p>
      <w:r>
        <w:t>Under exchangeability of calibration and test questions the procedure gives a finite-sample marginal guarantee of at least $T$ for answer-span coverage. The guarantee is marginal over calibration and test draws, not conditional on returning a finite budget or avoiding refusal. We evaluate it with 100 random splits that separate calibration from evaluation questions.</w:t>
      </w:r>
    </w:p>
    <w:p>
      <w:r>
        <w:rPr>
          <w:b/>
        </w:rPr>
        <w:t>Table 9.</w:t>
      </w:r>
      <w:r>
        <w:t xml:space="preserve"> Split-conformal calibration across the tested targets: median token budgets, empirical and nominal coverage, and the empirical-minus-nominal gap for three retrievers.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Median token budget</w:t>
            </w:r>
          </w:p>
        </w:tc>
        <w:tc>
          <w:tcPr>
            <w:tcW w:type="dxa" w:w="1440"/>
          </w:tcPr>
          <w:p>
            <w:r>
              <w:rPr>
                <w:b/>
                <w:sz w:val="18"/>
              </w:rPr>
            </w:r>
            <w:r>
              <w:rPr>
                <w:b/>
                <w:sz w:val="18"/>
              </w:rPr>
              <w:t>Empirical coverage</w:t>
            </w:r>
          </w:p>
        </w:tc>
        <w:tc>
          <w:tcPr>
            <w:tcW w:type="dxa" w:w="1440"/>
          </w:tcPr>
          <w:p>
            <w:r>
              <w:rPr>
                <w:b/>
                <w:sz w:val="18"/>
              </w:rPr>
            </w:r>
            <w:r>
              <w:rPr>
                <w:b/>
                <w:sz w:val="18"/>
              </w:rPr>
              <w:t>Nominal coverage</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On the hybrid retriever, empirical coverage at the three targets is within 0.015 of nominal, and the calibrated median budgets range from 120 to 276 tokens. Fixed $k = 8$ averages 289 tokens at a document-level recall of 0.904; that is a different metric from answer-span coverage, so the comparison is indicative rather than a same-recall budget advantage.</w:t>
      </w:r>
    </w:p>
    <w:p>
      <w:r>
        <w:t>Observed coverage varies by retriever. At target 0.90 the gap is $-0.020$ for dense bge-large-en and $-0.052$ for BM25, and BM25 returns refusals in 55% of cases at that target. This supports retriever-specific recalibration and explicit reporting of refusals rather than a single calibration for all retrievers.</w:t>
      </w:r>
    </w:p>
    <w:p>
      <w:r>
        <w:t>The saturating-curve variant with a safety margin reaches a similar reach rate but needs a hand-tuned margin and gives no finite-sample guarantee, so the split-conformal form is preferred.</w:t>
      </w:r>
    </w:p>
    <w:p>
      <w:pPr>
        <w:jc w:val="center"/>
      </w:pPr>
      <w:r>
        <w:drawing>
          <wp:inline xmlns:a="http://schemas.openxmlformats.org/drawingml/2006/main" xmlns:pic="http://schemas.openxmlformats.org/drawingml/2006/picture">
            <wp:extent cx="5120640" cy="1822601"/>
            <wp:docPr id="4" name="Picture 4"/>
            <wp:cNvGraphicFramePr>
              <a:graphicFrameLocks noChangeAspect="1"/>
            </wp:cNvGraphicFramePr>
            <a:graphic>
              <a:graphicData uri="http://schemas.openxmlformats.org/drawingml/2006/picture">
                <pic:pic>
                  <pic:nvPicPr>
                    <pic:cNvPr id="0" name="fig4-calibration.png"/>
                    <pic:cNvPicPr/>
                  </pic:nvPicPr>
                  <pic:blipFill>
                    <a:blip r:embed="rId12"/>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r>
        <w:t>Across the sweep, the maximum absolute difference between nominal and empirical coverage is 0.046 (Figure 5): 0.95 gives 0.922, 0.90 gives 0.891, 0.85 gives 0.865, 0.80 gives 0.810, 0.75 gives 0.754, 0.70 gives 0.699, 0.60 gives 0.646, and 0.50 gives 0.524. At nominal 0.95 the target is unreachable in 28% of calibration samples, which triggers refusal; among the samples that return a finite budget, the median is 664 tokens.</w:t>
      </w:r>
    </w:p>
    <w:p>
      <w:pPr>
        <w:jc w:val="center"/>
      </w:pPr>
      <w:r>
        <w:drawing>
          <wp:inline xmlns:a="http://schemas.openxmlformats.org/drawingml/2006/main" xmlns:pic="http://schemas.openxmlformats.org/drawingml/2006/picture">
            <wp:extent cx="5120640" cy="3503596"/>
            <wp:docPr id="5" name="Picture 5"/>
            <wp:cNvGraphicFramePr>
              <a:graphicFrameLocks noChangeAspect="1"/>
            </wp:cNvGraphicFramePr>
            <a:graphic>
              <a:graphicData uri="http://schemas.openxmlformats.org/drawingml/2006/picture">
                <pic:pic>
                  <pic:nvPicPr>
                    <pic:cNvPr id="0" name="fig5-conformal.png"/>
                    <pic:cNvPicPr/>
                  </pic:nvPicPr>
                  <pic:blipFill>
                    <a:blip r:embed="rId13"/>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(16-74 ms) is too small to move a latency budget. The resulting operating points, including the official classifier of Section 6.16, are:</w:t>
      </w:r>
    </w:p>
    <w:p>
      <w:r>
        <w:rPr>
          <w:b/>
        </w:rPr>
        <w:t>Table 10.</w:t>
      </w:r>
      <w:r>
        <w:t xml:space="preserve"> Operating points of all policies, including the official classifier of Section 6.16. Table 10 lists the operating 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Policy</w:t>
            </w:r>
          </w:p>
        </w:tc>
        <w:tc>
          <w:tcPr>
            <w:tcW w:type="dxa" w:w="2160"/>
          </w:tcPr>
          <w:p>
            <w:r>
              <w:rPr>
                <w:b/>
                <w:sz w:val="18"/>
              </w:rPr>
            </w:r>
            <w:r>
              <w:rPr>
                <w:b/>
                <w:sz w:val="18"/>
              </w:rPr>
              <w:t>Recall</w:t>
            </w:r>
          </w:p>
        </w:tc>
        <w:tc>
          <w:tcPr>
            <w:tcW w:type="dxa" w:w="2160"/>
          </w:tcPr>
          <w:p>
            <w:r>
              <w:rPr>
                <w:b/>
                <w:sz w:val="18"/>
              </w:rPr>
            </w:r>
            <w:r>
              <w:rPr>
                <w:b/>
                <w:sz w:val="18"/>
              </w:rPr>
              <w:t>mean tokens</w:t>
            </w:r>
          </w:p>
        </w:tc>
        <w:tc>
          <w:tcPr>
            <w:tcW w:type="dxa" w:w="2160"/>
          </w:tcPr>
          <w:p>
            <w:r>
              <w:rPr>
                <w:b/>
                <w:sz w:val="18"/>
              </w:rPr>
            </w:r>
            <w:r>
              <w:rPr>
                <w:b/>
                <w:sz w:val="18"/>
              </w:rPr>
              <w:t>mean latency (ms)</w:t>
            </w:r>
          </w:p>
        </w:tc>
      </w:tr>
      <w:tr>
        <w:tc>
          <w:tcPr>
            <w:tcW w:type="dxa" w:w="2160"/>
          </w:tcPr>
          <w:p>
            <w:r>
              <w:rPr>
                <w:sz w:val="18"/>
              </w:rPr>
            </w:r>
            <w:r>
              <w:rPr>
                <w:sz w:val="18"/>
              </w:rPr>
              <w:t>Official classifier (faithful)</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Official classifier (adapted)</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Ours (adaptive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Hybrid (budget 300)</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Latency here is retrieval only; the classifier adds 21 ms of CPU inference and nothing else. Every policy therefore lands between 16 and 74 ms, an order of magnitude below the 898 ms of generation, so latency does not create a second binding constraint. On the token-recall plane the learned classifier is an interior point (0.844 at 160 tokens) rather than an extreme: fixed top-3 is cheaper and top-5 more accurate, while our gate and fixed top-8 occupy the high-recall end at 244 and 318 tokens.</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gross prefill saving from swapping to the stronger retriever is 467 ms at a 0.80 target and 2258 ms at 0.90; after the 58 ms of extra retrieval the net gains are about 409 ms and 2200 ms.</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Question-Source Overlap</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Error Patterns across Retrieval and Generation</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The two rates differ, but this aggregate comparison does not identify what fraction of the gap arises during generation.</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p>
      <w:r>
        <w:rPr>
          <w:b/>
        </w:rPr>
        <w:t>Table 11.</w:t>
      </w:r>
      <w:r>
        <w:t xml:space="preserve"> Routing results of the official complexity classifier on the 301 questions. Table 11 reports the routed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Fixed k = 8 (hybrid)</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Its operating points sit between fixed-depth retrieval points: 0.844 at 160 tokens falls between top-3 (0.824 at 108) and top-5 (0.890 at 180), so it neither dominates fixed depth nor reaches the high-recall regime, where an A prediction removes the evidence outright. Its routing is also fixed: there is no knob that trades tokens for a target recall. That is precisely the interface Section 6.10 provides and this baseline lacks, which is why the two are complementary rather than competing -- the classifier picks one operating point from a learned prior, the conformal protocol certifies a target quality at whatever budget that costs.</w:t>
      </w:r>
    </w:p>
    <w:p>
      <w:pPr>
        <w:pStyle w:val="Heading2"/>
      </w:pPr>
      <w:r>
        <w:t>6.17 Per-Query Thresholds: No Better Trade-off</w:t>
      </w:r>
    </w:p>
    <w:p>
      <w:r>
        <w:t>The depth rule of Section 6.6 uses one global threshold tau on the normalised margin gamma = (s1 - s2) / s1, which has to be re-tuned when the corpus changes (0.12 on scifact, 0.20 on nfcorpus). A per-query rule would remove that constant, so we tested the obvious one: stop where the query's own score list drops sharply. Concretely, take the smallest k with (s_k - s_{k+1}) / s1 &gt;= delta, capped at k = 10, and sweep delta.</w:t>
      </w:r>
    </w:p>
    <w:p>
      <w:r>
        <w:rPr>
          <w:b/>
        </w:rPr>
        <w:t>Table 12.</w:t>
      </w:r>
      <w:r>
        <w:t xml:space="preserve"> Per-query threshold sweep on the internal benchmark: recall, tokens and saving against fixed k = 8. Table 12 reports the sweep.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delta</w:t>
            </w:r>
          </w:p>
        </w:tc>
        <w:tc>
          <w:tcPr>
            <w:tcW w:type="dxa" w:w="1728"/>
          </w:tcPr>
          <w:p>
            <w:r>
              <w:rPr>
                <w:b/>
                <w:sz w:val="18"/>
              </w:rPr>
            </w:r>
            <w:r>
              <w:rPr>
                <w:b/>
                <w:sz w:val="18"/>
              </w:rPr>
              <w:t>recall</w:t>
            </w:r>
          </w:p>
        </w:tc>
        <w:tc>
          <w:tcPr>
            <w:tcW w:type="dxa" w:w="1728"/>
          </w:tcPr>
          <w:p>
            <w:r>
              <w:rPr>
                <w:b/>
                <w:sz w:val="18"/>
              </w:rPr>
            </w:r>
            <w:r>
              <w:rPr>
                <w:b/>
                <w:sz w:val="18"/>
              </w:rPr>
              <w:t>mean tokens</w:t>
            </w:r>
          </w:p>
        </w:tc>
        <w:tc>
          <w:tcPr>
            <w:tcW w:type="dxa" w:w="1728"/>
          </w:tcPr>
          <w:p>
            <w:r>
              <w:rPr>
                <w:b/>
                <w:sz w:val="18"/>
              </w:rPr>
            </w:r>
            <w:r>
              <w:rPr>
                <w:b/>
                <w:sz w:val="18"/>
              </w:rPr>
              <w:t>saving vs k=8</w:t>
            </w:r>
          </w:p>
        </w:tc>
        <w:tc>
          <w:tcPr>
            <w:tcW w:type="dxa" w:w="1728"/>
          </w:tcPr>
          <w:p>
            <w:r>
              <w:rPr>
                <w:b/>
                <w:sz w:val="18"/>
              </w:rPr>
            </w:r>
            <w:r>
              <w:rPr>
                <w:b/>
                <w:sz w:val="18"/>
              </w:rPr>
              <w:t>mean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No setting beats the global threshold. The closest point, delta = 0.03, saves 16% of context but loses 1.7 recall points (0.887 against 0.904 at fixed k = 8), whereas the global rule reaches 0.900 at 244 tokens, a loss of only 0.4 points. Above delta = 0.05 the rule simply stops early almost never and costs more than fixed depth.</w:t>
      </w:r>
    </w:p>
    <w:p>
      <w:r>
        <w:t>A plausible explanation is that the normalised gap between the top two scores is comparable across queries, whereas a single flat pair of adjacent scores can move the per-query stopping point. The sweep establishes the trade-off but does not test this explanation directly. We therefore keep the global threshold and report the per-query variant as a negative result; the recalibration cost stays a stated limitation rather than being papered over by a rule that does not work.</w:t>
      </w:r>
    </w:p>
    <w:p>
      <w:r>
        <w:t>The same rule transfers to BEIR scifact, and fails there too: delta = 0.02 scores nDCG@10 0.6827 at 1818 tokens (30% fewer tokens, 2.4 points below fixed k = 8), delta = 0.03 scores 0.6895 at 2271 (13%), against 0.7071 at 2615 for fixed k = 8; the global threshold keeps nDCG@10 at 0.7062 while saving 24%. The per-query drop is therefore not a substitute for the global margin threshold on either the internal benchmark or the public one.</w:t>
      </w:r>
    </w:p>
    <w:p>
      <w:pPr>
        <w:pStyle w:val="Heading2"/>
      </w:pPr>
      <w:r>
        <w:t>6.18 Is the Margin a Sufficient Statistic? An Empirical Test</w:t>
      </w:r>
    </w:p>
    <w:p>
      <w:r>
        <w:t>The threshold rule of Section 6.6 treats gamma as a difficulty signal, but says nothing about *why* it should work. The assumption it needs is that the marginal value of another chunk decreases as gamma grows: confident queries gain little from depth, uncertain ones gain a lot. That is a statement about the score distribution, and it can be tested before it is proved.</w:t>
      </w:r>
    </w:p>
    <w:p>
      <w:r>
        <w:t>We split the 301 questions into gamma quartiles and compare recall at k = 4 and k = 10 within each quartile.</w:t>
      </w:r>
    </w:p>
    <w:p>
      <w:r>
        <w:rPr>
          <w:b/>
        </w:rPr>
        <w:t>Table 13.</w:t>
      </w:r>
      <w:r>
        <w:t xml:space="preserve"> Marginal gain by margin quartile: recall at k = 4 and k = 10 within each quartile. Table 13 reports the quartile analysis.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gamma quartile</w:t>
            </w:r>
          </w:p>
        </w:tc>
        <w:tc>
          <w:tcPr>
            <w:tcW w:type="dxa" w:w="1728"/>
          </w:tcPr>
          <w:p>
            <w:r>
              <w:rPr>
                <w:b/>
                <w:sz w:val="18"/>
              </w:rPr>
            </w:r>
            <w:r>
              <w:rPr>
                <w:b/>
                <w:sz w:val="18"/>
              </w:rPr>
              <w:t>n</w:t>
            </w:r>
          </w:p>
        </w:tc>
        <w:tc>
          <w:tcPr>
            <w:tcW w:type="dxa" w:w="1728"/>
          </w:tcPr>
          <w:p>
            <w:r>
              <w:rPr>
                <w:b/>
                <w:sz w:val="18"/>
              </w:rPr>
            </w:r>
            <w:r>
              <w:rPr>
                <w:b/>
                <w:sz w:val="18"/>
              </w:rPr>
              <w:t>recall k=4</w:t>
            </w:r>
          </w:p>
        </w:tc>
        <w:tc>
          <w:tcPr>
            <w:tcW w:type="dxa" w:w="1728"/>
          </w:tcPr>
          <w:p>
            <w:r>
              <w:rPr>
                <w:b/>
                <w:sz w:val="18"/>
              </w:rPr>
            </w:r>
            <w:r>
              <w:rPr>
                <w:b/>
                <w:sz w:val="18"/>
              </w:rPr>
              <w:t>recall k=10</w:t>
            </w:r>
          </w:p>
        </w:tc>
        <w:tc>
          <w:tcPr>
            <w:tcW w:type="dxa" w:w="1728"/>
          </w:tcPr>
          <w:p>
            <w:r>
              <w:rPr>
                <w:b/>
                <w:sz w:val="18"/>
              </w:rPr>
            </w:r>
            <w:r>
              <w:rPr>
                <w:b/>
                <w:sz w:val="18"/>
              </w:rPr>
              <w:t>delta (10-4)</w:t>
            </w:r>
          </w:p>
        </w:tc>
      </w:tr>
      <w:tr>
        <w:tc>
          <w:tcPr>
            <w:tcW w:type="dxa" w:w="1728"/>
          </w:tcPr>
          <w:p>
            <w:r>
              <w:rPr>
                <w:sz w:val="18"/>
              </w:rPr>
            </w:r>
            <w:r>
              <w:rPr>
                <w:sz w:val="18"/>
              </w:rPr>
              <w:t>Q1 (gamma &lt;=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 (gamma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The marginal gain is monotone decreasing in gamma: 0.093, 0.067, 0.013, 0.013. Queries the margin calls confident gain almost nothing from six more chunks, and queries it calls uncertain gain most. The empirical premise of the threshold rule therefore holds on this corpus.</w:t>
      </w:r>
    </w:p>
    <w:p>
      <w:r>
        <w:t xml:space="preserve">We are careful about what this does and does not establish. It does </w:t>
      </w:r>
      <w:r>
        <w:rPr>
          <w:b/>
        </w:rPr>
        <w:t>not</w:t>
      </w:r>
      <w:r>
        <w:t xml:space="preserve"> prove that gamma is a sufficient statistic: a statistic can predict the average gain within a bin while failing to order queries inside it, and the argument says nothing about the adversarial case of Section 6.9, where the relation reverses. What it does show is that the assumption behind the threshold is not vacuous, that its strength is roughly the shape one would assume, and that a formal treatment -- deriving marginal value from a Plackett-Luce or exponential-family model and bounding the threshold rule's suboptimality -- has an empirically falsifiable target to aim at.</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(289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w:t>
      </w:r>
    </w:p>
    <w:p>
      <w:r>
        <w:t>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0.51–0.69 of the time, yet a 4B model answers correctly only 0.14–0.40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about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The conclusions have seven boundaries. Corpus: the main evidence is 500 synthetic technical questions; cross-corpus validation covers retrieval only (Section 6.4) and the multi-hop generation results are small (Section 6.5), so transfer to production corpora needs an additional validation set. Baselines: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Cost: figures are converted from public unit prices and exclude batch discounts, cache hits and operations overhead (Section 7.3), which makes them suitable for relative comparison only. Token estimates: tiktoken over-counts Chinese relative to actual billing (Section 7.3), so the true context cost at equal recall is lower than reported. None of these four enters the abstract. Three further boundaries emerged when the corpus was enlarged. Main table: the 0.960 figure of Section 6.2 is a controlled synthetic setting; on real documentation the system ties a hybrid retriever (0.910) and the transferable gain is the 1–24% context saving of Section 6.9. Adaptive threshold: tau is a single global constant tuned per corpus (0.12 on scifact, 0.20 on nfcorpus). A per-query rule was tested and fails (Section 6.17), so recalibration remains a manual step. Public benchmarks: four BEIR subsets were run and one of them (arguana) shows no saving at all, so the gain is corpus-dependent (1–24%) rather than universal.</w:t>
      </w:r>
    </w:p>
    <w:p>
      <w:pPr>
        <w:pStyle w:val="Heading1"/>
      </w:pPr>
      <w:r>
        <w:t>9. Conclusion</w:t>
      </w:r>
    </w:p>
    <w:p>
      <w:r>
        <w:t>We formulated retrieval-depth selection as budget-constrained submodular maximization over priced actions, and derived two implementable consequences: the rewriting threshold is set by the shadow price of the budget, and the optimal cascade is a chain of confidence thresholds. On the controlled benchmark the resulting system reaches 0.960 recall at 126 tokens; on 312 official documentation pages it reaches 0.910 recall at a 300-token budget, statistically indistinguishable from fixed depth at 11-20% fewer tokens; on four BEIR subsets the same rule saves 1-24% of context at equal nDCG@10, and fails on an adversarially constructed one, which we report. A split-conformal layer turns a recall target into a budget with a coverage guarantee, and refuses targets a retriever cannot reach.</w:t>
      </w:r>
    </w:p>
    <w:p>
      <w:r>
        <w:t>We also stated when the margin can be trusted: under a high-confidence regime and a non-thickening tail (Appendix D), with two counterexamples marking exactly where each condition is necessary. The broader lesson is that the context budget is better treated as an interface than as a hyperparameter: given a target and twenty labelled questions, a system can certify what it promises, and say so when it cannot.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(v1.1.0).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Appendix D. Why the Margin Predicts Diminishing Returns</w:t>
      </w:r>
    </w:p>
    <w:p>
      <w:r>
        <w:t>Section 6.18 shows empirically that the marginal value of another chunk decreases in the margin. This appendix states the conditions under which that relation can be proved, and shows with two counterexamples that each condition is necessary. We prove the two-chunk (k = 1) case; the general case is stated as a conjecture supported by the measurements of Section 6.18.</w:t>
      </w:r>
    </w:p>
    <w:p>
      <w:r>
        <w:rPr>
          <w:b/>
        </w:rPr>
        <w:t>D.1 Notation.</w:t>
      </w:r>
      <w:r>
        <w:t xml:space="preserve"> As in Section 6.6: p_i is the conditional probability that chunk i contains the answer given that chunks 1..i-1 do not; Q(S_k) = P(E_k); Δ_k = Q(S_{k+1}) − Q(S_k); γ = (s_1 − s_2)/s_1.</w:t>
      </w:r>
    </w:p>
    <w:p>
      <w:r>
        <w:rPr>
          <w:b/>
        </w:rPr>
        <w:t>Lemma D.1.</w:t>
      </w:r>
      <w:r>
        <w:t xml:space="preserve"> Under the independence assumption of Section 6.6, Q(S_k) = 1 − ∏_{i≤k}(1−p_i) and Δ_k = (1 − Q(S_k)) · p_{k+1}.</w:t>
      </w:r>
    </w:p>
    <w:p>
      <w:r>
        <w:t>*Proof.* 1 − Q(S_k) = P(answer outside first k) = ∏_{i≤k}(1−p_i) by independence; subtracting Q(S_k) from Q(S_{k+1}) leaves ∏_{i≤k}(1−p_i) · p_{k+1}. ∎</w:t>
      </w:r>
    </w:p>
    <w:p>
      <w:r>
        <w:t>The coefficient is 1−Q, not Q: the gain can only come from the part not yet covered.</w:t>
      </w:r>
    </w:p>
    <w:p>
      <w:r>
        <w:rPr>
          <w:b/>
        </w:rPr>
        <w:t>Lemma D.2.</w:t>
      </w:r>
      <w:r>
        <w:t xml:space="preserve"> If p_1 ≥ p_2 ≥ … ≥ p_K, then for any fixed query Δ_k decreases in k.</w:t>
      </w:r>
    </w:p>
    <w:p>
      <w:r>
        <w:t>*Proof.* Δ_{k+1} = ∏_{i≤k+1}(1−p_i)·p_{k+2} ≤ ∏_{i≤k}(1−p_i)·p_{k+1} = Δ_k, because 1−p_{k+1} ≤ 1 and p_{k+2} ≤ p_{k+1}. ∎</w:t>
      </w:r>
    </w:p>
    <w:p>
      <w:r>
        <w:rPr>
          <w:b/>
        </w:rPr>
        <w:t>D.2 The cross-query theorem (k = 1).</w:t>
      </w:r>
      <w:r>
        <w:t xml:space="preserve"> Write Δ_1 = (1−p_1)·p_2 = ρ·p_1(1−p_1) with ρ := p_2/p_1. The conclusion needs more than p_1 growing.</w:t>
      </w:r>
    </w:p>
    <w:p>
      <w:r>
        <w:t xml:space="preserve">*Assumptions.* </w:t>
      </w:r>
      <w:r>
        <w:rPr>
          <w:b/>
        </w:rPr>
        <w:t>(M1)</w:t>
      </w:r>
      <w:r>
        <w:t xml:space="preserve"> the ranking scores order utilities; </w:t>
      </w:r>
      <w:r>
        <w:rPr>
          <w:b/>
        </w:rPr>
        <w:t>(M2)</w:t>
      </w:r>
      <w:r>
        <w:t xml:space="preserve"> the conditional hit probabilities decrease with rank, p_1 ≥ p_2 ≥ … ≥ p_K; </w:t>
      </w:r>
      <w:r>
        <w:rPr>
          <w:b/>
        </w:rPr>
        <w:t>(M3)</w:t>
      </w:r>
      <w:r>
        <w:t xml:space="preserve"> p_1 = g(γ) with g increasing; </w:t>
      </w:r>
      <w:r>
        <w:rPr>
          <w:b/>
        </w:rPr>
        <w:t>(H1)</w:t>
      </w:r>
      <w:r>
        <w:t xml:space="preserve"> p_1 ≥ 1/2; </w:t>
      </w:r>
      <w:r>
        <w:rPr>
          <w:b/>
        </w:rPr>
        <w:t>(H2)</w:t>
      </w:r>
      <w:r>
        <w:t xml:space="preserve"> ρ is non-increasing in p_1.</w:t>
      </w:r>
    </w:p>
    <w:p>
      <w:r>
        <w:t>*Theorem.* Under M1, M3, H1, H2, Δ_1 is non-increasing in γ. (M2 is not needed for k = 1; it is used in Lemma D.2.)</w:t>
      </w:r>
    </w:p>
    <w:p>
      <w:r>
        <w:t>*Proof.* Take two queries q, q' with p_1(q) ≤ p_1(q'), both ≥ 1/2. By H2, ρ(q') ≤ ρ(q). Let h(p) = p(1−p). Then Δ_1(q') − Δ_1(q) = ρ(q')h(p_1(q')) − ρ(q)h(p_1(q)) ≤ ρ(q)[h(p_1(q')) − h(p_1(q))], using ρ(q') ≤ ρ(q) and ρ ≥ 0. Since h'(p) = 1−2p ≤ 0 on [1/2, 1], h(p_1(q')) ≤ h(p_1(q)), so the difference is at most zero. With M3, larger γ implies larger p_1, hence smaller Δ_1. ∎</w:t>
      </w:r>
    </w:p>
    <w:p>
      <w:r>
        <w:rPr>
          <w:b/>
        </w:rPr>
        <w:t>D.3 Counterexample 1: M1 + M3 do not suffice.</w:t>
      </w:r>
      <w:r>
        <w:t xml:space="preserve"> Let p_i ≡ θ (constant). Then ρ = 1 and Δ_1 = θ(1−θ), so dΔ_1/dθ = 1−2θ. For θ &lt; 1/2 the marginal gain *increases* with confidence, opposite to the theorem. This is why H1 (the high-confidence region) cannot be dropped. Note that this example violates M2, so it shows only that M1 + M3 are insufficient.</w:t>
      </w:r>
    </w:p>
    <w:p>
      <w:r>
        <w:rPr>
          <w:b/>
        </w:rPr>
        <w:t>D.4 Counterexample 2: H2 is essential.</w:t>
      </w:r>
      <w:r>
        <w:t xml:space="preserve"> Let p_1 = θ, p_2 = θ², and p_i = 0 for i ≥ 3. Then M1, M2 (θ² ≤ θ), M3 and H1 (for θ ∈ [1/2, 2/3)) all hold, but Δ_1 = (1−θ)θ² and dΔ_1/dθ = θ(2−3θ) &gt; 0 for θ &lt; 2/3. The conclusion therefore fails </w:t>
      </w:r>
      <w:r>
        <w:rPr>
          <w:b/>
        </w:rPr>
        <w:t>even when every assumption except H2 is satisfied</w:t>
      </w:r>
      <w:r>
        <w:t>: H2 is not a technical add-on but a necessary condition. It is also the condition that the adversarial corpus of Section 6.9 violates.</w:t>
      </w:r>
    </w:p>
    <w:p>
      <w:r>
        <w:rPr>
          <w:b/>
        </w:rPr>
        <w:t>D.5 The general case (k ≥ 2).</w:t>
      </w:r>
      <w:r>
        <w:t xml:space="preserve"> We state the natural extension as a conjecture: if for every j the ratio ρ_j := p_{j+1}/p_j is non-increasing in p_1 and p_1 ≥ 1/2, then Δ_k is non-increasing in γ for all k. Section 6.18 provides numerical support (the marginal gain falls 0.093 → 0.067 → 0.013 → 0.013 across γ quartiles), but we do not claim a proof; a full treatment must control the joint behaviour of the ratios ρ_j, which the two-chunk argument does not.</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v1.1.0).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