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题的受控合成评测上，系统以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0.718）。是否建两套索引是</w:t>
      </w:r>
      <w:r>
        <w:rPr>
          <w:b/>
        </w:rPr>
        <w:t>语料级</w:t>
      </w:r>
      <w:r>
        <w:t>决定：短句语料建双索引，英文文档只建固定块（6.9 节）。两者都可用时，由逐题预算 ctx（单位 token，等于 B）决定：ctx ≤ 500 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