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usually treats retrieved context as a fixed hyperparameter, yet budgets are finite and query difficulty varies by orders of magnitude. We formulate retrieval-depth selection as budget-constrained submodular maximization over priced actions -- taking another chunk, switching to hybrid retrieval, rewriting the query, adding a second hop -- each with a cost and a marginal quality gain. Under diminishing returns the objective is monotone submodular, so greedy selection by gain per cost inherits the classical guarantees ($1-1/e$ with a cardinality budget, $(1-1/e)/2$ with a cost budget, $1-1/e$ with cross-tier enumeration). Two consequences are directly implementable: whether query rewriting pays off follows from the shadow price of the budget rather than from a fixed rule, and the optimal retrieval cascade is a chain of confidence thresholds whose cutoffs fall as that price rises.</w:t>
      </w:r>
    </w:p>
    <w:p>
      <w:r>
        <w:t>We build a reproducible system. On a 500-question synthetic benchmark it reaches 0.960 recall at an average context cost of 126 tokens, against 0.925 (179 tokens) for corrective retrieval and 0.910 (115 tokens) for dense retrieval. On 312 official documentation pages, hybrid retrieval reaches 0.910 recall at a 300-token budget, and a difficulty-adaptive rule matches it with 11-20% fewer tokens (bootstrap CI [11.2, 19.8]); on four BEIR subsets the same rule saves 1-24% of context at equal nDCG@10, and fails on one adversarial set, which we report. A split-conformal layer then turns a recall target into a budget with a coverage guarantee: with twenty labelled questions, coverage stays within 0.015 of nominal at 120-276 tokens, and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fourfold.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500-question synthetic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Whether both indexes are built is a corpus-level decision: short-sentence corpora are dual-indexed, while English documentation is indexed with fixed blocks only (Section 6.9). When both exist, the per-query budget $ctx$ (in tokens, equal to $B$) selects sentence level for $ctx \le 500$ and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about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the controlled synthetic benchmark (500 queries,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