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检索增强生成把「取多少上下文」当成固定超参，但真实系统的预算是有限的、且问题难度差异极大。 本文把检索深度选择写成一个</w:t>
      </w:r>
      <w:r>
        <w:rPr>
          <w:b/>
        </w:rPr>
        <w:t>预算约束下的子模最大化问题</w:t>
      </w:r>
      <w:r>
        <w:t>，并给出三个可检验的结论： 基数预算下贪心分配达 1−1/e（成本预算下为 (1−1/e)/2，修正贪心恢复到 1−1/e）、 查询改写的最优门控阈值由预算影子价格解出且随其单调不增、级联检索的最优策略是一条置信度阈值链。</w:t>
      </w:r>
    </w:p>
    <w:p>
      <w:r>
        <w:t xml:space="preserve">在 200 条检索评测上（bge-m3），系统在 </w:t>
      </w:r>
      <w:r>
        <w:rPr>
          <w:b/>
        </w:rPr>
        <w:t>126 token</w:t>
      </w:r>
      <w:r>
        <w:t xml:space="preserve"> 的平均上下文成本下取得 </w:t>
      </w:r>
      <w:r>
        <w:rPr>
          <w:b/>
        </w:rPr>
        <w:t>0.960</w:t>
      </w:r>
      <w:r>
        <w:t xml:space="preserve"> 的召回， 高于近似 CRAG 的 0.925（179 token）与纯向量检索的 0.910（115 token）； 在 500 条端到端评测上，系统以固定取块约一半的上下文成本（474 vs 972 token） 达到同等答案质量（contain 0.912 vs 0.920，配对差异落在噪声内）。 与 5 个基线的差异均经配对 bootstrap 与 McNemar 检验显著（p&lt;0.05）。</w:t>
      </w:r>
    </w:p>
    <w:p>
      <w:r>
        <w:t>在 LongBench 两个检索子集上召回 0.995/1.000；在三个多跳生成基准上， 检索带来的正确率提升在两种模型（API 大模型与本地 4B 模型）上一致成立。 人工标注（200 条、双人 kappa 0.67）显示自动指标偏保守，本文报告的所有召回为质量下界。</w:t>
      </w:r>
    </w:p>
    <w:p>
      <w:r>
        <w:rPr>
          <w:b/>
        </w:rPr>
        <w:t>关键词</w:t>
      </w:r>
      <w:r>
        <w:t>：检索增强生成；上下文预算；子模最大化；自适应检索；成本感知</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在三个多跳生成基准上，检索带来的正确率提升在 API 大模型与本地 4B 模型上一致成立。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召回，换语料、换生成模型后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固定块在宽预算下更连贯。系统按目标预算自动选择：ctx &lt; 500 用句级，否则用固定块。</w:t>
      </w:r>
    </w:p>
    <w:p>
      <w:r>
        <w:t xml:space="preserve">取块时按检索得分降序累积，直到已选块的总 token 达到预算 $B$ 即停， </w:t>
      </w:r>
      <w:r>
        <w:rPr>
          <w:b/>
        </w:rPr>
        <w:t>不做固定 k 截断</w:t>
      </w:r>
      <w:r>
        <w:t>——这是「预算」而非「条数」成为一等公民的关键。</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w:t>
      </w:r>
    </w:p>
    <w:p>
      <w:r>
        <w:t>同等预算下本文更强。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1"/>
      </w:pPr>
      <w:r>
        <w:t>7 讨论</w:t>
      </w:r>
    </w:p>
    <w:p>
      <w:pPr>
        <w:pStyle w:val="Heading2"/>
      </w:pPr>
      <w:r>
        <w:t>7.1 预算是接口，不是超参</w:t>
      </w:r>
    </w:p>
    <w:p>
      <w:r>
        <w:t>把预算写成约束而不是一个调好的 $k$，换来三件可迁移的东西。</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低于报告值。这四条不进入摘要，也不改变第 6 节的主结论。</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