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usually treats retrieved context as a fixed hyperparameter, yet budgets are finite and query difficulty varies by orders of magnitude. We formulate retrieval-depth selection as budget-constrained submodular maximization over priced actions -- taking another chunk, switching to hybrid retrieval, rewriting the query, adding a second hop -- each with a cost and a marginal quality gain. Under diminishing returns the objective is monotone submodular, so greedy selection by gain per cost inherits the classical guarantees ($1-1/e$ with a cardinality budget, $(1-1/e)/2$ with a cost budget, $1-1/e$ with cross-tier enumeration). Two consequences are directly implementable: whether query rewriting pays off follows from the shadow price of the budget rather than from a fixed rule, and the optimal retrieval cascade is a chain of confidence thresholds whose cutoffs fall as that price rises.</w:t>
      </w:r>
    </w:p>
    <w:p>
      <w:r>
        <w:t>We build a reproducible system. On a 500-question synthetic benchmark it reaches 0.960 recall at an average context cost of 126 tokens, against 0.925 (179 tokens) for corrective retrieval and 0.910 (115 tokens) for dense retrieval. On 312 official documentation pages, hybrid retrieval reaches 0.910 recall at a 300-token budget, and a difficulty-adaptive rule matches it with 11-20% fewer tokens (bootstrap CI [11.2, 19.8]); on four BEIR subsets the same rule saves 1-24% of context at equal nDCG@10, and fails on one adversarial set, which we report. A split-conformal layer then turns a recall target into a budget with a coverage guarantee: with twenty labelled questions, coverage stays within 0.015 of nominal at 120-276 tokens, and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fourfold.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500-question synthetic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1–24% fewer context tokens on three of four public BEIR subsets,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r>
        <w:t>Our retrieval layer builds on two standard components: sparse BM25 scoring [2] and dense bi-encoder retrieval [3].</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(0.910 against 0.718 at a 300-token budget). Whether both indexes are built is a corpus-level decision: short-sentence corpora are dual-indexed, while English documentation is indexed with fixed blocks only (Section 6.9). When both exist, the per-query budget $ctx$ (in tokens, equal to $B$) selects sentence level for $ctx \le 500$ and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about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the controlled synthetic benchmark (500 queries,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on the short-sentence synthetic corpus. Sentence-level chunks lead at budgets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(0.910) and the transferable gain is the 1–24% context saving of Section 6.9. </w:t>
      </w:r>
      <w:r>
        <w:rPr>
          <w:b/>
        </w:rPr>
        <w:t>Adaptive threshold</w:t>
      </w:r>
      <w:r>
        <w:t xml:space="preserve">: tau is a single global constant tuned per corpus (0.12 on scifact, 0.20 on nfcorpus). A per-query rule was tested and fails (Section 6.17), so recalibration remains a manual step. </w:t>
      </w:r>
      <w:r>
        <w:rPr>
          <w:b/>
        </w:rPr>
        <w:t>Public benchmarks</w:t>
      </w:r>
      <w:r>
        <w:t>: four BEIR subsets were run and one of them (arguana) shows no saving at all, so the gain is corpus-dependent (1–24%) rather than universal.</w:t>
      </w:r>
    </w:p>
    <w:p>
      <w:r>
        <w:t>&lt;!-- Appendices to be translated. --&gt;</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*Assumptions.* (A1) ranking scores order utilities; (A3) p_1 = g(γ) with g increasing; (H1) p_1 ≥ 1/2; (H2) ρ is non-increasing in p_1.</w:t>
      </w:r>
    </w:p>
    <w:p>
      <w:r>
        <w:t>*Theorem.* Under A1, A3, H1, H2, Δ_1 is non-increasing in γ.</w:t>
      </w:r>
    </w:p>
    <w:p>
      <w:r>
        <w:t>*Proof.* Take two queries q, q' with p_1(q) ≤ p_1(q'), both ≥ 1/2. By H2, ρ(q') ≤ ρ(q). Let h(p) = p(1−p). Then Δ_1(q') − Δ_1(q) = ρ(q')h(p_1(q')) − ρ(q)h(p_1(q)) ≤ ρ(q)[h(p_1(q')) − h(p_1(q))], using ρ(q') ≤ ρ(q) and ρ ≥ 0. Since h'(p) = 1−2p ≤ 0 on [1/2, 1], h(p_1(q')) ≤ h(p_1(q)), so the difference is at most zero. With A3, larger γ implies larger p_1, hence smaller Δ_1. ∎</w:t>
      </w:r>
    </w:p>
    <w:p>
      <w:r>
        <w:rPr>
          <w:b/>
        </w:rPr>
        <w:t>D.3 Counterexample 1: A1 + A3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A2, so it shows only that A1 + A3 are insufficient.</w:t>
      </w:r>
    </w:p>
    <w:p>
      <w:r>
        <w:rPr>
          <w:b/>
        </w:rPr>
        <w:t>D.4 Counterexample 2: H2 is essential.</w:t>
      </w:r>
      <w:r>
        <w:t xml:space="preserve"> Let p_1 = θ, p_2 = θ², and p_i = 0 for i ≥ 3. Then A1, A2 (θ² ≤ θ), A3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