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 本文把检索深度选择写成一个</w:t>
      </w:r>
      <w:r>
        <w:rPr>
          <w:b/>
        </w:rPr>
        <w:t>预算约束下的子模最大化问题</w:t>
      </w:r>
      <w:r>
        <w:t>，并给出三个可检验的结论： 基数预算下贪心分配达 1−1/e（成本预算下为 (1−1/e)/2，修正贪心恢复到 1−1/e）、 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 高于近似 CRAG 的 0.925（179 token）与纯向量检索的 0.910（115 token）； 在 500 条端到端评测上，系统以固定取块约一半的上下文成本（474 vs 972 token） 达到同等答案质量（contain 0.912 vs 0.920，配对差异落在噪声内）。 与 5 个基线的差异均经配对 bootstrap 与 McNemar 检验显著（p&lt;0.05）。</w:t>
      </w:r>
    </w:p>
    <w:p>
      <w:r>
        <w:t>在 LongBench 两个检索子集上召回 0.995/1.000；在三个多跳生成基准上， 检索带来的正确率提升在两种模型（API 大模型与本地 4B 模型）上一致成立。 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在三个多跳生成基准上，检索带来的正确率提升在 API 大模型与本地 4B 模型上一致成立。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召回，换语料、换生成模型后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固定块在宽预算下更连贯。系统按目标预算自动选择：ctx &lt; 500 用句级，否则用固定块。</w:t>
      </w:r>
    </w:p>
    <w:p>
      <w:r>
        <w:t xml:space="preserve">取块时按检索得分降序累积，直到已选块的总 token 达到预算 $B$ 即停， </w:t>
      </w:r>
      <w:r>
        <w:rPr>
          <w:b/>
        </w:rPr>
        <w:t>不做固定 k 截断</w:t>
      </w:r>
      <w:r>
        <w:t>——这是「预算」而非「条数」成为一等公民的关键。</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低于报告值。这四条不进入摘要，也不改变第 6 节的主结论。</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