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For each query, let $\mathcal{A}$ denote the available retrieval actions and $S \subseteq \mathcal{A}$ the actions selected. Each action $a$ has cost $c(a)$ and marginal gain $g(a \mid S)$ given $S$. We assume that the quality $Q(S)$ is monotone non-decreasing. Under budget $B$, the policy selects an action set by solving</w:t>
      </w:r>
    </w:p>
    <w:p>
      <w:pPr>
        <w:jc w:val="center"/>
      </w:pPr>
      <w:r>
        <w:rPr>
          <w:i/>
        </w:rPr>
        <w:t>\max_{S \subseteq \mathcal{A}} Q(S) \quad \text{subject to} \quad \sum_{a \in S} c(a) \le B .</w:t>
      </w:r>
    </w:p>
    <w:p>
      <w:r>
        <w:t xml:space="preserve">The subsequent results rely on two assumptions. Under </w:t>
      </w:r>
      <w:r>
        <w:rPr>
          <w:b/>
        </w:rPr>
        <w:t>(A1)</w:t>
      </w:r>
      <w:r>
        <w:t xml:space="preserve">, marginal gains diminish: $g(a \mid S) \ge g(a \mid T)$ whenever $S \subseteq T \subseteq \mathcal{A}$ and $a \notin T$. Under </w:t>
      </w:r>
      <w:r>
        <w:rPr>
          <w:b/>
        </w:rPr>
        <w:t>(A2)</w:t>
      </w:r>
      <w:r>
        <w:t>, action costs are additive and independent of execution order.</w:t>
      </w:r>
    </w:p>
    <w:p>
      <w:pPr>
        <w:pStyle w:val="Heading1"/>
      </w:pPr>
      <w:r>
        <w:t>4. Method</w:t>
      </w:r>
    </w:p>
    <w:p>
      <w:r>
        <w:t>Our retrieval layer combines sparse BM25 scoring [2] with dense bi-encoder retrieval [3].</w:t>
      </w:r>
    </w:p>
    <w:p>
      <w:pPr>
        <w:pStyle w:val="Heading2"/>
      </w:pPr>
      <w:r>
        <w:t>4.1 Dual Index and Budgeted Chunk Selection</w:t>
      </w:r>
    </w:p>
    <w:p>
      <w:r>
        <w:t>Long documents are indexed at two granularities (Figure 1). Sentence-level chunks are split on punctuation and contain roughly 15-40 tokens. Fixed blocks use a sliding 200-token window with a 40-token overlap by default. Sentence-level indexing keeps unrelated sentences out of a retrieved chunk, which benefits short-sentence corpora such as the Chinese technical notes in Section 6.2; fixed blocks preserve a coherent window and perform better on English documentation, reaching 0.910 versus 0.718 at a 300-token budget (Section 6.9). Whether both indexes are built is therefore a corpus-level decision: short-sentence corpora are dual-indexed, while English documentation is indexed with fixed blocks only. When both exist, the per-query budget $ctx$ (in tokens, equal to $B$) selects sentence level for $ctx \le 500$ and fixed blocks otherwise.</w:t>
      </w:r>
    </w:p>
    <w:p>
      <w:r>
        <w:t>Chunks are added in descending retrieval-score order until the selected chunks reach the token budget $B$, without imposing a fixed top-$k$ cutoff. Section 6.9 qualifies this design: on real corpora the truncation behaves like a well-chosen fixed $k$, and an operational difference appears only when retrieval depth is chosen per query from the score margin.</w:t>
      </w:r>
    </w:p>
    <w:p>
      <w:pPr>
        <w:pStyle w:val="Heading2"/>
      </w:pPr>
      <w:r>
        <w:t>4.2 Cascade Routing</w:t>
      </w:r>
    </w:p>
    <w:p>
      <w:r>
        <w:t>Routing has three tiers, defined by the admissible cost per thousand tokens. Very tight budgets (&lt; 0.002 CNY) select one BM25 chunk, medium budgets (0.002-0.01 CNY) select two, and generous budgets ($\ge$ 0.01 CNY) select five chunks from hybrid retrieval. These tiers discretize the greedy allocation of Proposition 1 and correspond to the knee of the gain-per-cost curve.</w:t>
      </w:r>
    </w:p>
    <w:p>
      <w:pPr>
        <w:pStyle w:val="Heading2"/>
      </w:pPr>
      <w:r>
        <w:t>4.3 Confidence-Gated Query Rewriting</w:t>
      </w:r>
    </w:p>
    <w:p>
      <w:r>
        <w:t>Because rewriting accounts for about half of end-to-end latency (Section 6.8), we invoke it only when needed. An initial low-cost retrieval provides the relative margin between the top two scores,</w:t>
      </w:r>
    </w:p>
    <w:p>
      <w:pPr>
        <w:jc w:val="center"/>
      </w:pPr>
      <w:r>
        <w:rPr>
          <w:i/>
        </w:rPr>
        <w:t>\gamma = \frac{s_1 - s_2}{s_1}.</w:t>
      </w:r>
    </w:p>
    <w:p>
      <w:r>
        <w:t>When $\gamma &lt; \tau$ the retrieval is treated as uncertain: the query is rewritten and retrieval is repeated with "original question + rewrite terms". The shadow price of the budget determines the optimal threshold (Proposition 2); the default $\tau = 0.25$ corresponds to pricing a rewrite at about one strong retrieval. Section 6.7 confirms that $\tau$ falls as the unit price rises.</w:t>
      </w:r>
    </w:p>
    <w:p>
      <w:pPr>
        <w:pStyle w:val="Heading2"/>
      </w:pPr>
      <w:r>
        <w:t>4.4 Multi-Hop Extension</w:t>
      </w:r>
    </w:p>
    <w:p>
      <w:r>
        <w:t>For questions that need two pieces of evidence, a second retrieval hop is added. After the first hop, the model receives the question plus a summary of the retrieved material and identifies what is still missing; the second hop then searches for "original question + supplementary query", and the two result sets are merged with chunk-level deduplication. The supplementary query is model-generated rather than extracted by a fixed rule, so it can name the missing entity directly.</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t>This section states four consequences of the formulation in Section 3. Propositions 1 and 4 are proved below; Propositions 2 and 3 follow from the shadow-price view and are used operationally in Sections 4.2-4.3.</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and measure the gap to the brute-force optimum in Appendix A.</w:t>
      </w:r>
    </w:p>
    <w:p>
      <w:r>
        <w:rPr>
          <w:b/>
        </w:rPr>
        <w:t>Proposition 2 (rewriting gate).</w:t>
      </w:r>
      <w:r>
        <w:t xml:space="preserve"> Let $q_0$ and $q_1$ be the quality without and with rewriting, $p$ the probability that rewriting helps, and $c_r$ its cost. Rewriting pays off exactly when $p(q_1 - q_0) &gt; \lambda c_r$, where $\lambda$ is the shadow price of the budget. Equivalently, rewriting is triggered below a confidence threshold that is solved from $\lambda$ rather than fixed at 0.25 (Section 4.3).</w:t>
      </w:r>
    </w:p>
    <w:p>
      <w:r>
        <w:rPr>
          <w:b/>
        </w:rPr>
        <w:t>Proposition 3 (cascade threshold chain).</w:t>
      </w:r>
      <w:r>
        <w:t xml:space="preserve"> Suppose the actions can be ordered by increasing cost, and that the gain of each action decreases monotonically with confidence. Then the optimal policy assigns each confidence interval to one tier -- a threshold chain -- 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 = p(\gamma)\Delta q(\gamma)$ is non-increasing in the retrieval confidence $\gamma$. Then the optimal threshold satisfies $B(\tau^*) = \lambda c_r$, and $\tau^*(\lambda)$ is non-increasing in $\lambda$.</w:t>
      </w:r>
    </w:p>
    <w:p>
      <w:r>
        <w:t>*Proof.* By Proposition 2 the criterion for rewriting is $B(\gamma) &gt; \lambda c_r$. A3 makes $B$ non-increasing, so the confidences that satisfy the criterion form an interval $[0, \tau^*)$. As $\lambda$ grows, the right-hand side $\lambda c_r$ grows, the feasible set shrinks, and $\tau^*$ therefore does not increase. At the boundaries, $\lambda c_r \ge B(0)$ gives $\tau^* = 0$ (never rewrite) and $\lambda c_r \le B(1)$ gives $\tau^* = 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on the short-sentence synthetic corpus. Sentence-level chunks lead at budgets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 xml:space="preserve">*Assumptions.* </w:t>
      </w:r>
      <w:r>
        <w:rPr>
          <w:b/>
        </w:rPr>
        <w:t>(M1)</w:t>
      </w:r>
      <w:r>
        <w:t xml:space="preserve"> the ranking scores order utilities; </w:t>
      </w:r>
      <w:r>
        <w:rPr>
          <w:b/>
        </w:rPr>
        <w:t>(M2)</w:t>
      </w:r>
      <w:r>
        <w:t xml:space="preserve"> the conditional hit probabilities decrease with rank, p_1 ≥ p_2 ≥ … ≥ p_K; </w:t>
      </w:r>
      <w:r>
        <w:rPr>
          <w:b/>
        </w:rPr>
        <w:t>(M3)</w:t>
      </w:r>
      <w:r>
        <w:t xml:space="preserve"> p_1 = g(γ) with g increasing; </w:t>
      </w:r>
      <w:r>
        <w:rPr>
          <w:b/>
        </w:rPr>
        <w:t>(H1)</w:t>
      </w:r>
      <w:r>
        <w:t xml:space="preserve"> p_1 ≥ 1/2; </w:t>
      </w:r>
      <w:r>
        <w:rPr>
          <w:b/>
        </w:rPr>
        <w:t>(H2)</w:t>
      </w:r>
      <w:r>
        <w:t xml:space="preserve"> ρ is non-increasing in p_1.</w:t>
      </w:r>
    </w:p>
    <w:p>
      <w:r>
        <w:t>*Theorem.* Under M1, M3, H1, H2, Δ_1 is non-increasing in γ. (M2 is not needed for k = 1; it is used in Lemma D.2.)</w:t>
      </w:r>
    </w:p>
    <w:p>
      <w:r>
        <w:t>*Proof.* Take two queries q, q' with p_1(q) ≤ p_1(q'), both ≥ 1/2. By H2, ρ(q') ≤ ρ(q). Let h(p) = p(1−p). Then Δ_1(q') − Δ_1(q) = ρ(q')h(p_1(q')) − ρ(q)h(p_1(q)) ≤ ρ(q)[h(p_1(q')) − h(p_1(q))], using ρ(q') ≤ ρ(q) and ρ ≥ 0. Since h'(p) = 1−2p ≤ 0 on [1/2, 1], h(p_1(q')) ≤ h(p_1(q)), so the difference is at most zero. With M3, larger γ implies larger p_1, hence smaller Δ_1. ∎</w:t>
      </w:r>
    </w:p>
    <w:p>
      <w:r>
        <w:rPr>
          <w:b/>
        </w:rPr>
        <w:t>D.3 Counterexample 1: M1 + M3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M2, so it shows only that M1 + M3 are insufficient.</w:t>
      </w:r>
    </w:p>
    <w:p>
      <w:r>
        <w:rPr>
          <w:b/>
        </w:rPr>
        <w:t>D.4 Counterexample 2: H2 is essential.</w:t>
      </w:r>
      <w:r>
        <w:t xml:space="preserve"> Let p_1 = θ, p_2 = θ², and p_i = 0 for i ≥ 3. Then M1, M2 (θ² ≤ θ), M3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