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has become a common way to ground language models in external, updatable evidence [1]. Most systems still treat retrieval depth as a hyperparameter, retrieving a fixed number of passages and concatenating them into the context [2,3]. This choice was reasonable when retrieving a few additional passages cost little. Yet position-sensitivity experiments show double-digit accuracy differences depending on where identical evidence appears in the context [4]. Retrieving more, therefore, does not necessarily improve an answer; both evidence quantity and placement must be allocated. A related issue is how retrieval methods are compared. Most studies report Recall@$k$ at a fixed $k$, although $k$, chunk size and routing depth differ across methods. Because these choices alter token use, recall gains alone do not establish comparable quality–cost trade-offs. We therefore report Recall@budget throughout to support budget-matched comparisons (Section 6.1).</w:t>
      </w:r>
    </w:p>
    <w:p>
      <w:r>
        <w:t>Existing work addresses retrieval depth through four complementary lines (Sections 2.1–2.4). Adaptive retrieval determines whether and how many steps to retrieve (Section 2.1). Corrective retrieval responds when retrieval has failed (Section 2.2). Cost-aware retrieval treats evidence acquisition as a resource-allocation problem (Section 2.3). Compression, reranking and query rewriting alter the unit cost, ordering and candidate pool of retrieved evidence (Section 2.4). Despite their differences, these approaches generally treat the budget as exogenous. A classifier chooses a depth, an evaluator triggers repair and a selector chooses among priced evidence, but none identifies which action merits the next unit of budget. Findings that static selectors can be brittle in cost-aware RAG further motivate modelling allocation itself [12].</w:t>
      </w:r>
    </w:p>
    <w:p>
      <w:r>
        <w:t>We cast retrieval-depth selection as a problem of budget-constrained set selection. Each executable retrieval action—taking another chunk, switching to hybrid retrieval, rewriting the query or adding a second hop—incurs cost $c(a)$ and yields marginal quality gain $g(a \mid S)$. A policy is a subset $S$ of actions chosen under budget $B$. If marginal gains diminish as actions are added, the quality function is monotone submodular. This structure supports classical approximation guarantees for gain-per-cost greedy selection. The decision to rewrite therefore depends on the budget's shadow price, not on a fixed rule. The optimal retrieval cascade is a chain of confidence thresholds whose cutoffs decline as that price rises.</w:t>
      </w:r>
    </w:p>
    <w:p>
      <w:r>
        <w:t>We implement this framework in a running system and evaluate it on retrieval and end-to-end benchmarks. Additional evaluations cover LongBench retrieval subsets, multi-hop generation benchmarks and doubly annotated examples.</w:t>
      </w:r>
    </w:p>
    <w:p>
      <w:r>
        <w:t>Our contributions are threefold.</w:t>
      </w:r>
    </w:p>
    <w:p>
      <w:pPr>
        <w:pStyle w:val="ListNumber"/>
      </w:pPr>
      <w:r>
        <w:t>We unify chunk selection, hybrid retrieval, query rewriting and second hop retrieval in one priced</w:t>
      </w:r>
    </w:p>
    <w:p>
      <w:r>
        <w:t>action set. Under diminishing returns, the objective is monotone submodular (Sections 3 and 5). Density greedy attains $1-1/e$ under a cardinality budget and $(1-1/e)/2$ under a cost budget, and cross-tier enumeration restores a $1-1/e$ guarantee.</w:t>
      </w:r>
    </w:p>
    <w:p>
      <w:pPr>
        <w:pStyle w:val="ListNumber"/>
      </w:pPr>
      <w:r>
        <w:t>We derive the closed-form rewriting threshold $\tau^*(\lambda)$ (Propositions 2 and 4; Section 6.7).</w:t>
      </w:r>
    </w:p>
    <w:p>
      <w:r>
        <w:t>As predicted, raising the unit-price coefficient from 0.25 to 2 lowers $\tau^*$ from 0.25 to 0.</w:t>
      </w:r>
    </w:p>
    <w:p>
      <w:pPr>
        <w:pStyle w:val="ListNumber"/>
      </w:pPr>
      <w:r>
        <w:t>On a 200-query retrieval benchmark, the system achieves 0.960 recall at an average context cost of</w:t>
      </w:r>
    </w:p>
    <w:p>
      <w:r>
        <w:t>126 tokens, against five baselines evaluated under a common budget. An approximation of corrective retrieval yields 0.925 recall at 179 tokens, and dense retrieval yields 0.910 at 115 tokens. Paired bootstrap and McNemar tests show that the reported differences are significant ($p&lt;0.05$). On 500 end-to-end queries, the system matches fixed top-3 containment (0.912 versus 0.920, within paired noise) at roughly half the prompt cost (474 versus 972 tokens). Recall reaches 0.995 and 1.000 on two LongBench retrieval subsets. These figures come from the controlled synthetic setting. On 312 official documentation pages and on BEIR scifact, deciding retrieval depth from the score margin matches fixed-k quality with 5–27% fewer context tokens, whereas sentence-level indexing and gated rewriting do not transfer to English documentation (Section 6.9). Retrieval improves answer accuracy on three multi-hop generation benchmarks for a locally deployed 4B model, and on HotpotQA for a hosted large model. An evaluation of 200 doubly annotated examples suggests that automatic containment metrics are conservative, making reported recall a lower bound on answer quality.</w:t>
      </w:r>
    </w:p>
    <w:p>
      <w:pPr>
        <w:pStyle w:val="Heading1"/>
      </w:pPr>
      <w:r>
        <w:t>2. Related Work</w:t>
      </w:r>
    </w:p>
    <w:p>
      <w:r>
        <w:t>Retrieval-augmented generation couples parametric memory with updatable external evidence [1], and in most systems the retrieval depth is a hyperparameter: a fixed number of top-$k$ passages is retrieved and concatenated into the context [2,3]. That default was reasonable when context was cheap—taking a few more passages cost nearly nothing. The cost has since moved. Position-sensitivity experiments show double-digit accuracy differences depending on where the same evidence lands [4], so "retrieve more" is no longer equivalent to "answer better"; both *how much* to take and *where to put it* have become resources to allocate rather than tune. A subtler cost is reporting: most work reports Recall@$k$ at a fixed $k$, while $k$, chunk length and routing depth differ across methods, so quality–cost curves cannot be stitched together—an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never drags unrelated sentences in, which pays off on short-sentence corpora such as the Chinese technical notes of Section 6.2; fixed blocks keep a coherent window and, as Section 6.9 shows, are decisively better on English documentation (0.922 against 0.647 at a 300-token budget). The system therefore selects granularity per corpus: sentence level when ctx &lt; 500 </w:t>
      </w:r>
      <w:r>
        <w:rPr>
          <w:b/>
        </w:rPr>
        <w:t>and</w:t>
      </w:r>
      <w:r>
        <w:t xml:space="preserve"> the corpus is short-sentence, fixed blocks otherwise.</w:t>
      </w:r>
    </w:p>
    <w:p>
      <w:r>
        <w:t>Chunks are accumulated in descending retrieval score until the selected chunks reach the token budget $B$, and then the loop stops, with no fixed $k$ truncation. Section 6.9 qualifies this design: on real corpora the truncation behaves like a well-chosen fixed $k$, and the operational difference appears only when the depth is chosen per query from the score margin.</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more than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The corpus is indexed twice; the budget selects sentence level or fixed blocks;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Below 300 tokens the sentence-level index wins because the same budget accommodates more sentences; beyond 500 tokens fixed blocks overtake it as a single block is more coherent. This is the basis for switching indexes by budget (Section 4.1).</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relative change.</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two BEIR subsets for public-protocol validation.</w:t>
      </w:r>
    </w:p>
    <w:p>
      <w:r>
        <w:rPr>
          <w:b/>
        </w:rPr>
        <w:t>Internal benchmark (143 questions, document-level recall)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0.811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0.923</w:t>
            </w:r>
          </w:p>
        </w:tc>
        <w:tc>
          <w:tcPr>
            <w:tcW w:type="dxa" w:w="2880"/>
          </w:tcPr>
          <w:p>
            <w:r>
              <w:rPr>
                <w:sz w:val="18"/>
              </w:rPr>
            </w:r>
            <w:r>
              <w:rPr>
                <w:sz w:val="18"/>
              </w:rPr>
              <w:t>320</w:t>
            </w:r>
          </w:p>
        </w:tc>
      </w:tr>
      <w:tr>
        <w:tc>
          <w:tcPr>
            <w:tcW w:type="dxa" w:w="2880"/>
          </w:tcPr>
          <w:p>
            <w:r>
              <w:rPr>
                <w:sz w:val="18"/>
              </w:rPr>
            </w:r>
            <w:r>
              <w:rPr>
                <w:sz w:val="18"/>
              </w:rPr>
              <w:t>Hybrid (alpha=0.2)</w:t>
            </w:r>
          </w:p>
        </w:tc>
        <w:tc>
          <w:tcPr>
            <w:tcW w:type="dxa" w:w="2880"/>
          </w:tcPr>
          <w:p>
            <w:r>
              <w:rPr>
                <w:sz w:val="18"/>
              </w:rPr>
            </w:r>
            <w:r>
              <w:rPr>
                <w:b/>
                <w:sz w:val="18"/>
              </w:rPr>
              <w:t>0.937</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0.937</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0.930</w:t>
            </w:r>
          </w:p>
        </w:tc>
        <w:tc>
          <w:tcPr>
            <w:tcW w:type="dxa" w:w="2880"/>
          </w:tcPr>
          <w:p>
            <w:r>
              <w:rPr>
                <w:sz w:val="18"/>
              </w:rPr>
            </w:r>
            <w:r>
              <w:rPr>
                <w:sz w:val="18"/>
              </w:rPr>
              <w:t>294</w:t>
            </w:r>
          </w:p>
        </w:tc>
      </w:tr>
      <w:tr>
        <w:tc>
          <w:tcPr>
            <w:tcW w:type="dxa" w:w="2880"/>
          </w:tcPr>
          <w:p>
            <w:r>
              <w:rPr>
                <w:sz w:val="18"/>
              </w:rPr>
            </w:r>
            <w:r>
              <w:rPr>
                <w:b/>
                <w:sz w:val="18"/>
              </w:rPr>
              <w:t>Ours (difficulty-adaptive, k=4/10)</w:t>
            </w:r>
          </w:p>
        </w:tc>
        <w:tc>
          <w:tcPr>
            <w:tcW w:type="dxa" w:w="2880"/>
          </w:tcPr>
          <w:p>
            <w:r>
              <w:rPr>
                <w:sz w:val="18"/>
              </w:rPr>
            </w:r>
            <w:r>
              <w:rPr>
                <w:b/>
                <w:sz w:val="18"/>
              </w:rPr>
              <w:t>0.930</w:t>
            </w:r>
          </w:p>
        </w:tc>
        <w:tc>
          <w:tcPr>
            <w:tcW w:type="dxa" w:w="2880"/>
          </w:tcPr>
          <w:p>
            <w:r>
              <w:rPr>
                <w:sz w:val="18"/>
              </w:rPr>
            </w:r>
            <w:r>
              <w:rPr>
                <w:b/>
                <w:sz w:val="18"/>
              </w:rPr>
              <w:t>251</w:t>
            </w:r>
          </w:p>
        </w:tc>
      </w:tr>
    </w:tbl>
    <w:p>
      <w:r>
        <w:rPr>
          <w:b/>
        </w:rPr>
        <w:t>BEIR scifact (300 queries, document level)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nDCG@10</w:t>
            </w:r>
          </w:p>
        </w:tc>
        <w:tc>
          <w:tcPr>
            <w:tcW w:type="dxa" w:w="2160"/>
          </w:tcPr>
          <w:p>
            <w:r>
              <w:rPr>
                <w:b/>
                <w:sz w:val="18"/>
              </w:rPr>
            </w:r>
            <w:r>
              <w:rPr>
                <w:b/>
                <w:sz w:val="18"/>
              </w:rPr>
              <w:t>hit@k</w:t>
            </w:r>
          </w:p>
        </w:tc>
        <w:tc>
          <w:tcPr>
            <w:tcW w:type="dxa" w:w="2160"/>
          </w:tcPr>
          <w:p>
            <w:r>
              <w:rPr>
                <w:b/>
                <w:sz w:val="18"/>
              </w:rPr>
            </w:r>
            <w:r>
              <w:rPr>
                <w:b/>
                <w:sz w:val="18"/>
              </w:rPr>
              <w:t>mean tokens</w:t>
            </w:r>
          </w:p>
        </w:tc>
      </w:tr>
      <w:tr>
        <w:tc>
          <w:tcPr>
            <w:tcW w:type="dxa" w:w="2160"/>
          </w:tcPr>
          <w:p>
            <w:r>
              <w:rPr>
                <w:sz w:val="18"/>
              </w:rPr>
            </w:r>
            <w:r>
              <w:rPr>
                <w:sz w:val="18"/>
              </w:rPr>
              <w:t>Fixed k=10</w:t>
            </w:r>
          </w:p>
        </w:tc>
        <w:tc>
          <w:tcPr>
            <w:tcW w:type="dxa" w:w="2160"/>
          </w:tcPr>
          <w:p>
            <w:r>
              <w:rPr>
                <w:sz w:val="18"/>
              </w:rPr>
            </w:r>
            <w:r>
              <w:rPr>
                <w:sz w:val="18"/>
              </w:rPr>
              <w:t>0.7101</w:t>
            </w:r>
          </w:p>
        </w:tc>
        <w:tc>
          <w:tcPr>
            <w:tcW w:type="dxa" w:w="2160"/>
          </w:tcPr>
          <w:p>
            <w:r>
              <w:rPr>
                <w:sz w:val="18"/>
              </w:rPr>
            </w:r>
            <w:r>
              <w:rPr>
                <w:sz w:val="18"/>
              </w:rPr>
              <w:t>0.850</w:t>
            </w:r>
          </w:p>
        </w:tc>
        <w:tc>
          <w:tcPr>
            <w:tcW w:type="dxa" w:w="2160"/>
          </w:tcPr>
          <w:p>
            <w:r>
              <w:rPr>
                <w:sz w:val="18"/>
              </w:rPr>
            </w:r>
            <w:r>
              <w:rPr>
                <w:sz w:val="18"/>
              </w:rPr>
              <w:t>3264</w:t>
            </w:r>
          </w:p>
        </w:tc>
      </w:tr>
      <w:tr>
        <w:tc>
          <w:tcPr>
            <w:tcW w:type="dxa" w:w="2160"/>
          </w:tcPr>
          <w:p>
            <w:r>
              <w:rPr>
                <w:sz w:val="18"/>
              </w:rPr>
            </w:r>
            <w:r>
              <w:rPr>
                <w:sz w:val="18"/>
              </w:rPr>
              <w:t>Fixed k=8</w:t>
            </w:r>
          </w:p>
        </w:tc>
        <w:tc>
          <w:tcPr>
            <w:tcW w:type="dxa" w:w="2160"/>
          </w:tcPr>
          <w:p>
            <w:r>
              <w:rPr>
                <w:sz w:val="18"/>
              </w:rPr>
            </w:r>
            <w:r>
              <w:rPr>
                <w:sz w:val="18"/>
              </w:rPr>
              <w:t>0.7071</w:t>
            </w:r>
          </w:p>
        </w:tc>
        <w:tc>
          <w:tcPr>
            <w:tcW w:type="dxa" w:w="2160"/>
          </w:tcPr>
          <w:p>
            <w:r>
              <w:rPr>
                <w:sz w:val="18"/>
              </w:rPr>
            </w:r>
            <w:r>
              <w:rPr>
                <w:sz w:val="18"/>
              </w:rPr>
              <w:t>0.843</w:t>
            </w:r>
          </w:p>
        </w:tc>
        <w:tc>
          <w:tcPr>
            <w:tcW w:type="dxa" w:w="2160"/>
          </w:tcPr>
          <w:p>
            <w:r>
              <w:rPr>
                <w:sz w:val="18"/>
              </w:rPr>
            </w:r>
            <w:r>
              <w:rPr>
                <w:sz w:val="18"/>
              </w:rPr>
              <w:t>2615</w:t>
            </w:r>
          </w:p>
        </w:tc>
      </w:tr>
      <w:tr>
        <w:tc>
          <w:tcPr>
            <w:tcW w:type="dxa" w:w="2160"/>
          </w:tcPr>
          <w:p>
            <w:r>
              <w:rPr>
                <w:sz w:val="18"/>
              </w:rPr>
            </w:r>
            <w:r>
              <w:rPr>
                <w:b/>
                <w:sz w:val="18"/>
              </w:rPr>
              <w:t>Adaptive tau=0.12 (k=3/10)</w:t>
            </w:r>
          </w:p>
        </w:tc>
        <w:tc>
          <w:tcPr>
            <w:tcW w:type="dxa" w:w="2160"/>
          </w:tcPr>
          <w:p>
            <w:r>
              <w:rPr>
                <w:sz w:val="18"/>
              </w:rPr>
            </w:r>
            <w:r>
              <w:rPr>
                <w:b/>
                <w:sz w:val="18"/>
              </w:rPr>
              <w:t>0.7086</w:t>
            </w:r>
          </w:p>
        </w:tc>
        <w:tc>
          <w:tcPr>
            <w:tcW w:type="dxa" w:w="2160"/>
          </w:tcPr>
          <w:p>
            <w:r>
              <w:rPr>
                <w:sz w:val="18"/>
              </w:rPr>
            </w:r>
            <w:r>
              <w:rPr>
                <w:b/>
                <w:sz w:val="18"/>
              </w:rPr>
              <w:t>0.850</w:t>
            </w:r>
          </w:p>
        </w:tc>
        <w:tc>
          <w:tcPr>
            <w:tcW w:type="dxa" w:w="2160"/>
          </w:tcPr>
          <w:p>
            <w:r>
              <w:rPr>
                <w:sz w:val="18"/>
              </w:rPr>
            </w:r>
            <w:r>
              <w:rPr>
                <w:b/>
                <w:sz w:val="18"/>
              </w:rPr>
              <w:t>2393 (-27%)</w:t>
            </w:r>
          </w:p>
        </w:tc>
      </w:tr>
    </w:tbl>
    <w:p>
      <w:r>
        <w:rPr>
          <w:b/>
        </w:rPr>
        <w:t>BEIR nfcorpus (150 queries)</w:t>
      </w:r>
      <w:r>
        <w:t xml:space="preserve">: adaptive tau=0.20 (k=4/10) yields nDCG 0.3725, hit 0.740 and 3218 tokens, 7% below fixed k=10. </w:t>
      </w:r>
      <w:r>
        <w:rPr>
          <w:b/>
        </w:rPr>
        <w:t>BEIR fiqa (300 queries, 57,638 documents)</w:t>
      </w:r>
      <w:r>
        <w:t>: adaptive tau=0.12 (k=4/10) keeps hit@k at 0.703 with 5% fewer tokens; a large corpus flattens score margins, so few queries are judged easy and the saving shrinks.</w:t>
      </w:r>
    </w:p>
    <w:p>
      <w:r>
        <w:t xml:space="preserve">Three revised conclusions. First, the transferable gain is </w:t>
      </w:r>
      <w:r>
        <w:rPr>
          <w:b/>
        </w:rPr>
        <w:t>difficulty-adaptive depth</w:t>
      </w:r>
      <w:r>
        <w:t xml:space="preserve">: at equal recall or hit rate it saves 5%-27% of context, the saving tracking how many queries can be answered confidently (27% on scifact, 7% on nfcorpus, 5% on fiqa, where a 57k-document corpus flattens the score margins).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0.647 against 0.922 for fixed blocks, and gated rewriting 0.902 against 0.922,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7% of context on short-document corpora and 27% on long-abstract corpora (Section 6.9). The mechanism is therefore "how many chunks does *this* query need", not "stop at a token count".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0.50–0.65 of the time, yet a 4B model answers correctly only 0.20–0.40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more than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 xml:space="preserve">The conclusions have seven boundaries. </w:t>
      </w:r>
      <w:r>
        <w:rPr>
          <w:b/>
        </w:rPr>
        <w:t>Corpus</w:t>
      </w:r>
      <w:r>
        <w:t xml:space="preserve">: the main evidence is 500 synthetic technical questions; cross-corpus validation covers retrieval only (Section 6.4) and the multi-hop generation results are small (Section 6.5), so transfer to production corpora needs an additional validation set. </w:t>
      </w:r>
      <w:r>
        <w:rPr>
          <w:b/>
        </w:rPr>
        <w:t>Baselines</w:t>
      </w:r>
      <w:r>
        <w:t xml:space="preserve">: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w:t>
      </w:r>
      <w:r>
        <w:rPr>
          <w:b/>
        </w:rPr>
        <w:t>Cost</w:t>
      </w:r>
      <w:r>
        <w:t xml:space="preserve">: figures are converted from public unit prices and exclude batch discounts, cache hits and operations overhead (Section 7.3), which makes them suitable for relative comparison only. </w:t>
      </w:r>
      <w:r>
        <w:rPr>
          <w:b/>
        </w:rPr>
        <w:t>Token estimates</w:t>
      </w:r>
      <w:r>
        <w:t xml:space="preserve">: tiktoken over-counts Chinese relative to actual billing (Section 7.3), so the true context cost at equal recall is lower than reported. None of these four enters the abstract. Three further boundaries emerged when the corpus was enlarged. </w:t>
      </w:r>
      <w:r>
        <w:rPr>
          <w:b/>
        </w:rPr>
        <w:t>Main table</w:t>
      </w:r>
      <w:r>
        <w:t xml:space="preserve">: the 0.960 figure of Section 6.2 is a controlled synthetic setting; on real documentation the system ties a hybrid retriever (0.937) and the transferable gain is the 7–27% context saving of Section 6.9. </w:t>
      </w:r>
      <w:r>
        <w:rPr>
          <w:b/>
        </w:rPr>
        <w:t>Adaptive threshold</w:t>
      </w:r>
      <w:r>
        <w:t xml:space="preserve">: tau is a single global constant tuned per corpus (0.12 on scifact, 0.20 on nfcorpus), and per-query calibration is left open. </w:t>
      </w:r>
      <w:r>
        <w:rPr>
          <w:b/>
        </w:rPr>
        <w:t>Public benchmarks</w:t>
      </w:r>
      <w:r>
        <w:t>: only two BEIR subsets were run, so the saving should be read as a range (7–27%), not a universal value.</w:t>
      </w:r>
    </w:p>
    <w:p>
      <w:r>
        <w:t>&lt;!-- Appendices to be translated. --&gt;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(v1.0.0).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v1.0.0).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