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On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7–27%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w:t>
      </w:r>
    </w:p>
    <w:p>
      <w:r>
        <w:t xml:space="preserve">Three revised conclusions. First, the transferable gain is </w:t>
      </w:r>
      <w:r>
        <w:rPr>
          <w:b/>
        </w:rPr>
        <w:t>difficulty-adaptive depth</w:t>
      </w:r>
      <w:r>
        <w:t xml:space="preserve">: at equal recall or hit rate it saves 7%-27% of context, with the saving tracking document length (27% on scifact's long abstracts, 7% on nfcorpus's short ones).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only two BEIR subsets were run, so the saving should be read as a range (7–27%),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