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 split-conformal rule covers a new question with probability at least 1-alpha, empirical coverage staying within 0.015 of nominal at 120-276 tokens on the hybrid retriever,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We turn the budget into a user-facing interface: given a quality target, a calibration protocol with</w:t>
      </w:r>
    </w:p>
    <w:p>
      <w:r>
        <w:t>twenty labelled questions predicts the required budget, reports a reach rate, and refuses targets above what the retriever can deliver (Section 6.10).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1–24% fewer context tokens on three of four public BEIR subsets,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(0.910 against 0.718 at a 300-token budget). The system therefore selects granularity per corpus: sentence level when ctx &lt; 500 </w:t>
      </w:r>
      <w:r>
        <w:rPr>
          <w:b/>
        </w:rPr>
        <w:t>and</w:t>
      </w:r>
      <w:r>
        <w:t xml:space="preserve"> the corpus is short-sentence,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t xml:space="preserve">Paired bootstrapping over the 301 questions puts the recall difference at -0.003 (95% CI [-0.020, +0.010], p = 0.81) and the token saving at </w:t>
      </w:r>
      <w:r>
        <w:rPr>
          <w:b/>
        </w:rPr>
        <w:t>15.5%</w:t>
      </w:r>
      <w:r>
        <w:t xml:space="preserve"> (95% CI [11.2%, 19.8%]): the rule is statistically indistinguishable from fixed k = 8 on quality while using 11-20% fewer tokens.</w:t>
      </w:r>
    </w:p>
    <w:p>
      <w:r>
        <w:rPr>
          <w:b/>
        </w:rPr>
        <w:t>BEIR (public protocol, document level)</w:t>
      </w:r>
    </w:p>
    <w:p>
      <w:r>
        <w:t>We run four BEIR subsets through the same pipeline (bge-m3 embeddings, hybrid alpha = 0.2, chunk size 200) and use fixed k = 8 as the reference; the adaptive configuration is the cheapest one whose nDCG@10 stays within 0.002 of that baseline. All queries are used, without subsampling.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1-24% of context, the saving tracking how many queries can be answered confidently (24% on scifact, 6% on nfcorpus, 1% on fiqa, where a 57k-document corpus flattens the score margins, and none on the adversarial arguana set).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0.718 against 0.910 for fixed blocks, and gated rewriting 0.874 against 0.910,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Three findings follow. First, on the strongest retriever the guarantee holds: empirical coverage tracks the nominal level within 0.015 at all three targets, and the budgets (120-276 tokens) stay well below what a fixed k = 8 needs for the same recall (289 tokens). Second, calibration is retriever-specific: under bge-large-en the gap at 0.90 widens to -0.020 and under BM25 to -0.052 with a 55% refusal rate at that target, so a change of retriever requires recalibration and an honest refusal path.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0.046: 0.922 at 0.95, 0.891 at 0.90, 0.865 at 0.85, 0.810 at 0.80, 0.754 at 0.75, 0.699 at 0.70, 0.646 at 0.60 and 0.524 at 0.50 (Figure 5). The one systematic gap is the far tail: at nominal 0.95, 28% of calibration samples never reach the target and the protocol refuses rather than under-covers, and among the samples that do return a budget the median is 664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 The resulting operating points, including the official classifier of Section 6.16,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On the token-recall plane the learned classifier is an interior point (0.844 at 160 tokens) rather than an extreme: fixed top-3 is cheaper and top-5 more accurate, while our gate and fixed top-8 occupy the high-recall end at 244 and 318 tokens.</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Its operating points sit between fixed-depth retrieval points: 0.844 at 160 tokens falls between top-3 (0.824 at 108) and top-5 (0.890 at 180), so it neither dominates fixed depth nor reaches the high-recall regime, where an A prediction removes the evidence outright. Its routing is also fixed: there is no knob that trades tokens for a target recall. That is precisely the interface Section 6.10 provides and this baseline lacks, which is why the two are complementary rather than competing -- the classifier picks one operating point from a learned prior, the conformal protocol certifies a target quality at whatever budget that costs.</w:t>
      </w:r>
    </w:p>
    <w:p>
      <w:pPr>
        <w:pStyle w:val="Heading2"/>
      </w:pPr>
      <w:r>
        <w:t>6.17 Per-Query Thresholds: Tested, No Gain</w:t>
      </w:r>
    </w:p>
    <w:p>
      <w:r>
        <w:t>The depth rule of Section 6.6 uses one global threshold tau on the normalised margin gamma = (s1 - s2) / s1, which has to be re-tuned when the corpus changes (0.12 on scifact, 0.20 on nfcorpus). A per-query rule would remove that constant, so we tested the obvious one: stop where the query's own score list drops sharply. Concretely, take the smallest k with (s_k - s_{k+1}) / s1 &gt;= delta, capped at k = 10, and sweep delta.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delta</w:t>
            </w:r>
          </w:p>
        </w:tc>
        <w:tc>
          <w:tcPr>
            <w:tcW w:type="dxa" w:w="1728"/>
          </w:tcPr>
          <w:p>
            <w:r>
              <w:rPr>
                <w:b/>
                <w:sz w:val="18"/>
              </w:rPr>
            </w:r>
            <w:r>
              <w:rPr>
                <w:b/>
                <w:sz w:val="18"/>
              </w:rPr>
              <w:t>recall</w:t>
            </w:r>
          </w:p>
        </w:tc>
        <w:tc>
          <w:tcPr>
            <w:tcW w:type="dxa" w:w="1728"/>
          </w:tcPr>
          <w:p>
            <w:r>
              <w:rPr>
                <w:b/>
                <w:sz w:val="18"/>
              </w:rPr>
            </w:r>
            <w:r>
              <w:rPr>
                <w:b/>
                <w:sz w:val="18"/>
              </w:rPr>
              <w:t>mean tokens</w:t>
            </w:r>
          </w:p>
        </w:tc>
        <w:tc>
          <w:tcPr>
            <w:tcW w:type="dxa" w:w="1728"/>
          </w:tcPr>
          <w:p>
            <w:r>
              <w:rPr>
                <w:b/>
                <w:sz w:val="18"/>
              </w:rPr>
            </w:r>
            <w:r>
              <w:rPr>
                <w:b/>
                <w:sz w:val="18"/>
              </w:rPr>
              <w:t>saving vs k=8</w:t>
            </w:r>
          </w:p>
        </w:tc>
        <w:tc>
          <w:tcPr>
            <w:tcW w:type="dxa" w:w="1728"/>
          </w:tcPr>
          <w:p>
            <w:r>
              <w:rPr>
                <w:b/>
                <w:sz w:val="18"/>
              </w:rPr>
            </w:r>
            <w:r>
              <w:rPr>
                <w:b/>
                <w:sz w:val="18"/>
              </w:rPr>
              <w:t>mean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No setting beats the global threshold. The closest point, delta = 0.03, saves 16% of context but loses 1.7 recall points (0.887 against 0.904 at fixed k = 8), whereas the global rule reaches 0.900 at 244 tokens, a loss of only 0.4 points. Above delta = 0.05 the rule simply stops early almost never and costs more than fixed depth.</w:t>
      </w:r>
    </w:p>
    <w:p>
      <w:r>
        <w:t>The reason is visible in the definition: hybrid scores are already normalised per query, so the absolute gap (s1 - s2)/s1 is a comparable statistic across queries, while the *incremental* drop between adjacent chunks adds noise -- one flat pair of scores is enough to trigger or suppress a cut. We therefore keep the global threshold and report the per-query variant as a negative result; the recalibration cost stays a stated limitation rather than being papered over by a rule that does not work.</w:t>
      </w:r>
    </w:p>
    <w:p>
      <w:r>
        <w:t>The same rule transfers to BEIR scifact, and fails there too: delta = 0.02 scores nDCG@10 0.6827 at 1818 tokens (30% fewer tokens, 2.4 points below fixed k = 8), delta = 0.03 scores 0.6895 at 2271 (13%), against 0.7071 at 2615 for fixed k = 8; the global threshold keeps nDCG@10 at 0.7062 while saving 24%. The per-query drop is therefore not a substitute for the global margin threshold on either the internal benchmark or the public one.</w:t>
      </w:r>
    </w:p>
    <w:p>
      <w:pPr>
        <w:pStyle w:val="Heading2"/>
      </w:pPr>
      <w:r>
        <w:t>6.18 Is the Margin a Sufficient Statistic? An Empirical Test</w:t>
      </w:r>
    </w:p>
    <w:p>
      <w:r>
        <w:t>The threshold rule of Section 6.6 treats gamma as a difficulty signal, but says nothing about *why* it should work. The assumption it needs is that the marginal value of another chunk decreases as gamma grows: confident queries gain little from depth, uncertain ones gain a lot. That is a statement about the score distribution, and it can be tested before it is proved.</w:t>
      </w:r>
    </w:p>
    <w:p>
      <w:r>
        <w:t>We split the 301 questions into gamma quartiles and compare recall at k = 4 and k = 10 within each quartile.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gamma quartile</w:t>
            </w:r>
          </w:p>
        </w:tc>
        <w:tc>
          <w:tcPr>
            <w:tcW w:type="dxa" w:w="1728"/>
          </w:tcPr>
          <w:p>
            <w:r>
              <w:rPr>
                <w:b/>
                <w:sz w:val="18"/>
              </w:rPr>
            </w:r>
            <w:r>
              <w:rPr>
                <w:b/>
                <w:sz w:val="18"/>
              </w:rPr>
              <w:t>n</w:t>
            </w:r>
          </w:p>
        </w:tc>
        <w:tc>
          <w:tcPr>
            <w:tcW w:type="dxa" w:w="1728"/>
          </w:tcPr>
          <w:p>
            <w:r>
              <w:rPr>
                <w:b/>
                <w:sz w:val="18"/>
              </w:rPr>
            </w:r>
            <w:r>
              <w:rPr>
                <w:b/>
                <w:sz w:val="18"/>
              </w:rPr>
              <w:t>recall k=4</w:t>
            </w:r>
          </w:p>
        </w:tc>
        <w:tc>
          <w:tcPr>
            <w:tcW w:type="dxa" w:w="1728"/>
          </w:tcPr>
          <w:p>
            <w:r>
              <w:rPr>
                <w:b/>
                <w:sz w:val="18"/>
              </w:rPr>
            </w:r>
            <w:r>
              <w:rPr>
                <w:b/>
                <w:sz w:val="18"/>
              </w:rPr>
              <w:t>recall k=10</w:t>
            </w:r>
          </w:p>
        </w:tc>
        <w:tc>
          <w:tcPr>
            <w:tcW w:type="dxa" w:w="1728"/>
          </w:tcPr>
          <w:p>
            <w:r>
              <w:rPr>
                <w:b/>
                <w:sz w:val="18"/>
              </w:rPr>
            </w:r>
            <w:r>
              <w:rPr>
                <w:b/>
                <w:sz w:val="18"/>
              </w:rPr>
              <w:t>delta (10-4)</w:t>
            </w:r>
          </w:p>
        </w:tc>
      </w:tr>
      <w:tr>
        <w:tc>
          <w:tcPr>
            <w:tcW w:type="dxa" w:w="1728"/>
          </w:tcPr>
          <w:p>
            <w:r>
              <w:rPr>
                <w:sz w:val="18"/>
              </w:rPr>
            </w:r>
            <w:r>
              <w:rPr>
                <w:sz w:val="18"/>
              </w:rPr>
              <w:t>Q1 (gamma &lt;=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 (gamma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The marginal gain is monotone decreasing in gamma: 0.093, 0.067, 0.013, 0.013. Queries the margin calls confident gain almost nothing from six more chunks, and queries it calls uncertain gain most. The empirical premise of the threshold rule therefore holds on this corpus.</w:t>
      </w:r>
    </w:p>
    <w:p>
      <w:r>
        <w:t xml:space="preserve">We are careful about what this does and does not establish. It does </w:t>
      </w:r>
      <w:r>
        <w:rPr>
          <w:b/>
        </w:rPr>
        <w:t>not</w:t>
      </w:r>
      <w:r>
        <w:t xml:space="preserve"> prove that gamma is a sufficient statistic: a statistic can predict the average gain within a bin while failing to order queries inside it, and the argument says nothing about the adversarial case of Section 6.9, where the relation reverses. What it does show is that the assumption behind the threshold is not vacuous, that its strength is roughly the shape one would assume, and that a formal treatment -- deriving marginal value from a Plackett-Luce or exponential-family model and bounding the threshold rule's suboptimality -- has an empirically falsifiable target to aim at.</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(0.910) and the transferable gain is the 1–24% context saving of Section 6.9. </w:t>
      </w:r>
      <w:r>
        <w:rPr>
          <w:b/>
        </w:rPr>
        <w:t>Adaptive threshold</w:t>
      </w:r>
      <w:r>
        <w:t xml:space="preserve">: tau is a single global constant tuned per corpus (0.12 on scifact, 0.20 on nfcorpus). A per-query rule was tested and fails (Section 6.17), so recalibration remains a manual step. </w:t>
      </w:r>
      <w:r>
        <w:rPr>
          <w:b/>
        </w:rPr>
        <w:t>Public benchmarks</w:t>
      </w:r>
      <w:r>
        <w:t>: four BEIR subsets were run and one of them (arguana) shows no saving at all, so the gain is corpus-dependent (1–24%) rather than universal.</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Appendix D. Why the Margin Predicts Diminishing Returns</w:t>
      </w:r>
    </w:p>
    <w:p>
      <w:r>
        <w:t>Section 6.18 shows empirically that the marginal value of another chunk decreases in the margin. This appendix states the conditions under which that relation can be proved, and shows with two counterexamples that each condition is necessary. We prove the two-chunk (k = 1) case; the general case is stated as a conjecture supported by the measurements of Section 6.18.</w:t>
      </w:r>
    </w:p>
    <w:p>
      <w:r>
        <w:rPr>
          <w:b/>
        </w:rPr>
        <w:t>D.1 Notation.</w:t>
      </w:r>
      <w:r>
        <w:t xml:space="preserve"> As in Section 6.6: p_i is the conditional probability that chunk i contains the answer given that chunks 1..i-1 do not; Q(S_k) = P(E_k); Δ_k = Q(S_{k+1}) − Q(S_k); γ = (s_1 − s_2)/s_1.</w:t>
      </w:r>
    </w:p>
    <w:p>
      <w:r>
        <w:rPr>
          <w:b/>
        </w:rPr>
        <w:t>Lemma D.1.</w:t>
      </w:r>
      <w:r>
        <w:t xml:space="preserve"> Under the independence assumption of Section 6.6, Q(S_k) = 1 − ∏_{i≤k}(1−p_i) and Δ_k = (1 − Q(S_k)) · p_{k+1}.</w:t>
      </w:r>
    </w:p>
    <w:p>
      <w:r>
        <w:t>*Proof.* 1 − Q(S_k) = P(answer outside first k) = ∏_{i≤k}(1−p_i) by independence; subtracting Q(S_k) from Q(S_{k+1}) leaves ∏_{i≤k}(1−p_i) · p_{k+1}. ∎</w:t>
      </w:r>
    </w:p>
    <w:p>
      <w:r>
        <w:t>The coefficient is 1−Q, not Q: the gain can only come from the part not yet covered.</w:t>
      </w:r>
    </w:p>
    <w:p>
      <w:r>
        <w:rPr>
          <w:b/>
        </w:rPr>
        <w:t>Lemma D.2.</w:t>
      </w:r>
      <w:r>
        <w:t xml:space="preserve"> If p_1 ≥ p_2 ≥ … ≥ p_K, then for any fixed query Δ_k decreases in k.</w:t>
      </w:r>
    </w:p>
    <w:p>
      <w:r>
        <w:t>*Proof.* Δ_{k+1} = ∏_{i≤k+1}(1−p_i)·p_{k+2} ≤ ∏_{i≤k}(1−p_i)·p_{k+1} = Δ_k, because 1−p_{k+1} ≤ 1 and p_{k+2} ≤ p_{k+1}. ∎</w:t>
      </w:r>
    </w:p>
    <w:p>
      <w:r>
        <w:rPr>
          <w:b/>
        </w:rPr>
        <w:t>D.2 The cross-query theorem (k = 1).</w:t>
      </w:r>
      <w:r>
        <w:t xml:space="preserve"> Write Δ_1 = (1−p_1)·p_2 = ρ·p_1(1−p_1) with ρ := p_2/p_1. The conclusion needs more than p_1 growing.</w:t>
      </w:r>
    </w:p>
    <w:p>
      <w:r>
        <w:t>*Assumptions.* (A1) ranking scores order utilities; (A3) p_1 = g(γ) with g increasing; (H1) p_1 ≥ 1/2; (H2) ρ is non-increasing in p_1.</w:t>
      </w:r>
    </w:p>
    <w:p>
      <w:r>
        <w:t>*Theorem.* Under A1, A3, H1, H2, Δ_1 is non-increasing in γ.</w:t>
      </w:r>
    </w:p>
    <w:p>
      <w:r>
        <w:t>*Proof.* Take two queries q, q' with p_1(q) ≤ p_1(q'), both ≥ 1/2. By H2, ρ(q') ≤ ρ(q). Let h(p) = p(1−p). Then Δ_1(q') − Δ_1(q) = ρ(q')h(p_1(q')) − ρ(q)h(p_1(q)) ≤ ρ(q)[h(p_1(q')) − h(p_1(q))], using ρ(q') ≤ ρ(q) and ρ ≥ 0. Since h'(p) = 1−2p ≤ 0 on [1/2, 1], h(p_1(q')) ≤ h(p_1(q)), so the difference is at most zero. With A3, larger γ implies larger p_1, hence smaller Δ_1. ∎</w:t>
      </w:r>
    </w:p>
    <w:p>
      <w:r>
        <w:rPr>
          <w:b/>
        </w:rPr>
        <w:t>D.3 Counterexample 1: A1 + A3 do not suffice.</w:t>
      </w:r>
      <w:r>
        <w:t xml:space="preserve"> Let p_i ≡ θ (constant). Then ρ = 1 and Δ_1 = θ(1−θ), so dΔ_1/dθ = 1−2θ. For θ &lt; 1/2 the marginal gain *increases* with confidence, opposite to the theorem. This is why H1 (the high-confidence region) cannot be dropped. Note that this example violates A2, so it shows only that A1 + A3 are insufficient.</w:t>
      </w:r>
    </w:p>
    <w:p>
      <w:r>
        <w:rPr>
          <w:b/>
        </w:rPr>
        <w:t>D.4 Counterexample 2: H2 is essential.</w:t>
      </w:r>
      <w:r>
        <w:t xml:space="preserve"> Let p_1 = θ, p_2 = θ², and p_i = 0 for i ≥ 3. Then A1, A2 (θ² ≤ θ), A3 and H1 (for θ ∈ [1/2, 2/3)) all hold, but Δ_1 = (1−θ)θ² and dΔ_1/dθ = θ(2−3θ) &gt; 0 for θ &lt; 2/3. The conclusion therefore fails </w:t>
      </w:r>
      <w:r>
        <w:rPr>
          <w:b/>
        </w:rPr>
        <w:t>even when every assumption except H2 is satisfied</w:t>
      </w:r>
      <w:r>
        <w:t>: H2 is not a technical add-on but a necessary condition. It is also the condition that the adversarial corpus of Section 6.9 violates.</w:t>
      </w:r>
    </w:p>
    <w:p>
      <w:r>
        <w:rPr>
          <w:b/>
        </w:rPr>
        <w:t>D.5 The general case (k ≥ 2).</w:t>
      </w:r>
      <w:r>
        <w:t xml:space="preserve"> We state the natural extension as a conjecture: if for every j the ratio ρ_j := p_{j+1}/p_j is non-increasing in p_1 and p_1 ≥ 1/2, then Δ_k is non-increasing in γ for all k. Section 6.18 provides numerical support (the marginal gain falls 0.093 → 0.067 → 0.013 → 0.013 across γ quartiles), but we do not claim a proof; a full treatment must control the joint behaviour of the ratios ρ_j, which the two-chunk argument does not.</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