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DC4B" w14:textId="77777777" w:rsidR="00205638" w:rsidRPr="00205638" w:rsidRDefault="00205638" w:rsidP="0020563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05638">
        <w:rPr>
          <w:rFonts w:ascii="Times New Roman" w:hAnsi="Times New Roman" w:cs="Times New Roman"/>
          <w:b/>
          <w:bCs/>
          <w:sz w:val="20"/>
          <w:szCs w:val="20"/>
        </w:rPr>
        <w:t>Primeiras Experiências com a Programação de Estruturas de Dados Persistentes</w:t>
      </w:r>
    </w:p>
    <w:p w14:paraId="5E4AE629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Lucas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Bastelli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Alexandro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Baldassin</w:t>
      </w:r>
      <w:proofErr w:type="spellEnd"/>
    </w:p>
    <w:p w14:paraId="7A6CA695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1Universidade Estadual Paulista (UNESP) – Rio Claro – SP –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Brazil</w:t>
      </w:r>
      <w:proofErr w:type="spellEnd"/>
    </w:p>
    <w:p w14:paraId="353F8D5A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lucas.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b.spagnol</w:t>
      </w:r>
      <w:proofErr w:type="spellEnd"/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alexandro.baldassin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}@unesp.br</w:t>
      </w:r>
    </w:p>
    <w:p w14:paraId="621E8CD6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Abstract.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Persistent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latest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storage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technology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Unlike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secundary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storages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devices (HD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SSD), its high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lower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latency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granularity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allows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direct connection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processor’s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bus.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But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technology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necessary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new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models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secure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always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updated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consistently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context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shows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use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In-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tel’s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Persistent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Kit (PMDK)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build 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singly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linked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structure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discuss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challenges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persistent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rather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volatile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comparing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performance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commom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DRAM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Intel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Optane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DC.</w:t>
      </w:r>
    </w:p>
    <w:p w14:paraId="490DD119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Resumo. Memória persistente é uma das mais novas tecnologias em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armaze-namento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. Contrário aos dispositivos para armazenamento secundário (HD e SSD), sua maior velocidade de acesso, menor latência e granularidade baixa, possibilitam a conexão direta com o barramento do processador. Porém, para a utilização dessa nova tecnologia, também são necessários novos meios de programação para garantir a consistência dos dados. Neste contexto, este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tra-balho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mostra a utilização da biblioteca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Persistent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Kit (PMDK) da Intel para o desenvolvimento de uma lista ligada simples. São discutidos os desafios com a programação para memória persistente e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apre-sentados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resultados iniciais que comparam o desempenho de memória volátil (DRAM) com a Intel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Optane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DC.</w:t>
      </w:r>
    </w:p>
    <w:p w14:paraId="321B8061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1. Introdução Tradicionalmente, dispositivos de armazenamento em sistemas computacionais são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di-vididos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entre primário e secundário. O armazenamento primário (tipicamente DRAM) permite acesso rápido aos dados, porém sua capacidade geralmente é restrita e os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da-dos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são voláteis, ou seja, são perdidos quando o fornecimento de energia é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interrom-pido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. No segundo caso (tipicamente HD ou SSD) os dados podem ser mantidos por tempo indeterminado, mas a velocidade de acesso geralmente é ordens de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grande-zas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mais lento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e portanto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 não são conectados diretamente no barramento do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processa-dor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[Hennessy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Patterson 2017]. Os recentes avanços na indústria de semicondutores têm permitido o desenvolvimento de novas tecnologias para armazenamento persistente com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caracterı́sticas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de armazenamento primário: os dispositivos podem ser conectados diretamente ao barramento do processador, permitindo operações de leituras e escritas na granularidade de byte, com a vantagem da persistência. Tais dispositivos tem sido chamados de Memória Persistente (PM –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Persistent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) [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Baldassin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et al. 2021]. Comercialmente, a Intel lançou recentemente o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Optane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DC, baseado na tecnologia 3D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XPoint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Seltzer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et al. 2018].</w:t>
      </w:r>
    </w:p>
    <w:p w14:paraId="6418C9F9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A introdução da PM faz com que a forma que o código é escrito seja diferente da forma que tradicionalmente é feita para dispositivos secundários. Como o acesso é feito diretamente na PM, caso haja uma falha durante o acesso (acabe a energia, por exemplo), uma estrutura de dados pode estar em um estado inconsistente no momento da reinicialização do sistema. Este trabalho mostra como utilizar a biblioteca PMDK da Intel [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Scargall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2020] para desenvolver uma estrutura de dados do tipo lista ligada simples. Em particular, a PMDK oferece a abstração de transações, facilitando o gerenciamento de erros causados for falhas que forcem a reinicialização do sistema. Além da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apresen-tar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os desafios de se programar com PM, também são discutidos resultados iniciais de desempenho comparando PM, DRAM e SSD.</w:t>
      </w:r>
    </w:p>
    <w:p w14:paraId="26095343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2. Intel PMDK O PMDK é composto por diversos módulos, com diferentes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nı́veis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de abstração. O mais comum deles, e usado neste trabalho, é conhecido como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libpmemobj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para a linguagem C. Este módulo fornece suporte para: i) trabalhar com pool de memória persistente;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ii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) alocação de memória persistente; e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iii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) atualização de dados persistentes de forma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con-sistente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por meio de transações. Antes de realizar qualquer operação na PM, um pool de memória precisa ser criado/aberto. Uma vez aberto, a PM é acessada através de um objeto raiz, a partir do qual todos os outros objetos na PM são acessados. A </w:t>
      </w:r>
      <w:r w:rsidRPr="00205638">
        <w:rPr>
          <w:rFonts w:ascii="Times New Roman" w:hAnsi="Times New Roman" w:cs="Times New Roman"/>
          <w:sz w:val="20"/>
          <w:szCs w:val="20"/>
        </w:rPr>
        <w:lastRenderedPageBreak/>
        <w:t xml:space="preserve">alocação de memória persistente geralmente é feita através de transações. Isso ocorre porque entre a chamada para alocação de memória persistente e o armazenamento do endereço alocado,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podem haver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 falhas (como queda de energia, por exemplo). Neste caso, poderia haver um vazamento de memória persistente.</w:t>
      </w:r>
    </w:p>
    <w:p w14:paraId="4ECC0A34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Finalmente, o suporte para transações é o principal aspecto fornecido pelo PMDK. Uma transação garante que todas as alterações realizadas dentro dela, ou são completadas e ditas persistentes (efetivadas ou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committed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), ou então o sistema reverte as alterações e é como se nada tivesse acontecido (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rollback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). As transações, desta forma, possibilitam a atualização de dados persistentes de forma consistente.</w:t>
      </w:r>
    </w:p>
    <w:p w14:paraId="04B05711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3. Implementando uma lista ligada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persistente Para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 implementar a lista ligada persistente 1, usou-se como base uma equivalente já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desen-volvida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para memória volátil. A partir disso, foi necessário adaptar o código para utilizar o PMDK. O código da Listagem 1 é usado para elucidar alguns conceitos descritos 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se-guir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. A primeira grande diferença começa com a declaração das estruturas, apresentada entre as linhas 1 e 8. Ao contrário da versão volátil, é necessário que os ponteiros sejam persistentes. Uma das formas de especificar isso é utilizando a macro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TOID(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). Desta forma,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(linha 2) é um ponteiro persistente, assim como o ponteiro para o objeto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raı́z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que aponta para a cabeça da lista,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(linha 7). No PMDK, um ponteiro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persis-tente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tem 128 bits e é composto por um identificador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da pool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>, de 64 bits, e um ponteiro convencional, também de 64 bits.</w:t>
      </w:r>
    </w:p>
    <w:p w14:paraId="7C08E969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Outra grande diferença está no conceito de pool de memória persistente,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reque-rendo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chamadas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explı́citas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para seu gerenciamento (linhas 10 e 11). O conceito mais similar no contexto de memória volátil seria o do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heap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de memória. O pool é exposto como um arquivo presente no sistema de arquivos do sistema operacional e precisa ser</w:t>
      </w:r>
    </w:p>
    <w:p w14:paraId="7CEF50DC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1O código pode ser acessado pelo seguinte link: https://github.com/LucasBastelli/IC PMDK</w:t>
      </w:r>
    </w:p>
    <w:p w14:paraId="03FE0189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explicitamente aberto/criado (linha 10). A seguir, é necessário acessar o objeto raiz (linha 11), através do qual todos os outros elementos do pool serão acessados.</w:t>
      </w:r>
    </w:p>
    <w:p w14:paraId="428D90C1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05638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{ 2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TOID(</w:t>
      </w:r>
      <w:proofErr w:type="spellStart"/>
      <w:proofErr w:type="gramEnd"/>
      <w:r w:rsidRPr="0020563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; 3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val_t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;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4 }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>; 5</w:t>
      </w:r>
    </w:p>
    <w:p w14:paraId="4BF7077E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root{ 7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TOID(</w:t>
      </w:r>
      <w:proofErr w:type="spellStart"/>
      <w:proofErr w:type="gramEnd"/>
      <w:r w:rsidRPr="0020563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;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8 }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>; 9</w:t>
      </w:r>
    </w:p>
    <w:p w14:paraId="5EE73C45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10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PMEMobjpool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*pop =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pmemobj_open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mylist</w:t>
      </w:r>
      <w:proofErr w:type="spellEnd"/>
      <w:proofErr w:type="gramStart"/>
      <w:r w:rsidRPr="00205638">
        <w:rPr>
          <w:rFonts w:ascii="Times New Roman" w:hAnsi="Times New Roman" w:cs="Times New Roman"/>
          <w:sz w:val="20"/>
          <w:szCs w:val="20"/>
        </w:rPr>
        <w:t>",...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); 11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TOID(</w:t>
      </w:r>
      <w:proofErr w:type="spellStart"/>
      <w:proofErr w:type="gramEnd"/>
      <w:r w:rsidRPr="0020563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root) root = POBJ_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ROOT(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pop,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root); 12</w:t>
      </w:r>
    </w:p>
    <w:p w14:paraId="6800188D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13 // inserir elemento no começo da lista 14 TX_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BEGIN(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>pop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){ 15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TOID(</w:t>
      </w:r>
      <w:proofErr w:type="spellStart"/>
      <w:proofErr w:type="gramEnd"/>
      <w:r w:rsidRPr="0020563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; 16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= TX_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ALLOC(</w:t>
      </w:r>
      <w:proofErr w:type="spellStart"/>
      <w:proofErr w:type="gramEnd"/>
      <w:r w:rsidRPr="0020563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05638">
        <w:rPr>
          <w:rFonts w:ascii="Times New Roman" w:hAnsi="Times New Roman" w:cs="Times New Roman"/>
          <w:sz w:val="20"/>
          <w:szCs w:val="20"/>
        </w:rPr>
        <w:t>entry,sizeof</w:t>
      </w:r>
      <w:proofErr w:type="spellEnd"/>
      <w:proofErr w:type="gramEnd"/>
      <w:r w:rsidRPr="0020563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)); 17 D_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RW(</w:t>
      </w:r>
      <w:proofErr w:type="spellStart"/>
      <w:proofErr w:type="gramEnd"/>
      <w:r w:rsidRPr="00205638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; 18 D_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RW(</w:t>
      </w:r>
      <w:proofErr w:type="spellStart"/>
      <w:proofErr w:type="gramEnd"/>
      <w:r w:rsidRPr="00205638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)-&gt;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= D_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RO(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>root)-&gt;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; 19 TX_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>root); 20 D_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RW(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>root)-&gt;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;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21 }TX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>_END</w:t>
      </w:r>
    </w:p>
    <w:p w14:paraId="66BAD23B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Listagem 1. Trechos de código com a lista ligada persistente.</w:t>
      </w:r>
    </w:p>
    <w:p w14:paraId="282008B0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As transações são usadas para alterar de forma consistente os dados persistentes. Um exemplo que insere um elemento no começo da lista é mostrado entre as linhas 14 e 21. É necessário especificar o pool no qual as operações da transação serão efetuadas, no caso o objeto pop (linha 14) aberto na linha 10. As linhas de 15 a 18 são responsáveis por alocar o novo nodo na memória persistente e inicializá-lo. Para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dereferenciar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ponteiros persistentes, geralmente a macro D RW (linhas 17 e 18) é utilizada. Se o acesso é somente de leitura, a macro D RO deve ser usada (linha 18). Finalmente, o ponteiro para a cabeça da lista é atualizado (linha 20). As transações no PMDK utilizam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undo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logs para garantir a consistência. O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undo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log armazena uma cópia prévia do dado alterado, de forma que esse valor possa ser restaurado em caso de alguma falha durante o processamento da transação (por exemplo, queda de energia). O programador é responsável por informar os dados que devem ser salvos no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undo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log através do TX ADD (linha 19). Note que, caso isso não seja feito, pode ser que a cabeça da lista seja alterada (linha 20) mas, antes da transação terminar (linha 21), ocorra uma queda de energia. Nesse caso, quando o sistema for restaurado, a cabeça da lista vai apontar para um endereço inválido, já que a transação não terminou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e portanto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 a alocação de memória foi revertida (linha 16), mas não a atribuição (linha 20).</w:t>
      </w:r>
    </w:p>
    <w:p w14:paraId="6FFA06F3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lastRenderedPageBreak/>
        <w:t xml:space="preserve">4. Resultados Experimentais São apresentados resultados iniciais de desempenho da memória persistente (Intel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Optane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DC) quando comparada com DRAM e SSD. O benchmark utilizado realiza, por 10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se-gundos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operações de inserção, remoção e busca numa estrutura de lista ligada simples. A máquina utilizada é um Intel Xeon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gold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5317 com 128GB de DRAM. Os experimentos foram executados 10 vezes e os resultados da Figura 1 apresentam a vazão em operações por segundo (eixo Y) para diferentes tamanhos da estrutura de dados (eixo X). A taxa de atualização (operações de inserção e remoção) da lista ligada é de 50%.</w:t>
      </w:r>
    </w:p>
    <w:p w14:paraId="65E98F43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Na Figura 1 é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possı́vel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perceber que a PM ficou, em média, 4x mais lenta que a DRAM e 188x mais rápida que a SSD. Desta forma, a memória persistente consegue unir</w:t>
      </w:r>
    </w:p>
    <w:p w14:paraId="4C29E843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128 256 512 1024 2048 4096 8192 Tamanho</w:t>
      </w:r>
    </w:p>
    <w:p w14:paraId="7EC033E5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104</w:t>
      </w:r>
    </w:p>
    <w:p w14:paraId="2E93C510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105</w:t>
      </w:r>
    </w:p>
    <w:p w14:paraId="75FBCDCD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106</w:t>
      </w:r>
    </w:p>
    <w:p w14:paraId="58132D41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107</w:t>
      </w:r>
    </w:p>
    <w:p w14:paraId="72BBF326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Va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zã</w:t>
      </w:r>
      <w:proofErr w:type="spellEnd"/>
    </w:p>
    <w:p w14:paraId="2F6BDF28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05638">
        <w:rPr>
          <w:rFonts w:ascii="Times New Roman" w:hAnsi="Times New Roman" w:cs="Times New Roman"/>
          <w:sz w:val="20"/>
          <w:szCs w:val="20"/>
        </w:rPr>
        <w:t xml:space="preserve">o(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Op</w:t>
      </w:r>
      <w:proofErr w:type="spellEnd"/>
      <w:proofErr w:type="gramEnd"/>
    </w:p>
    <w:p w14:paraId="585CE02A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aç</w:t>
      </w:r>
      <w:proofErr w:type="spellEnd"/>
    </w:p>
    <w:p w14:paraId="7E1094E7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05638">
        <w:rPr>
          <w:rFonts w:ascii="Times New Roman" w:hAnsi="Times New Roman" w:cs="Times New Roman"/>
          <w:sz w:val="20"/>
          <w:szCs w:val="20"/>
        </w:rPr>
        <w:t>õe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s p</w:t>
      </w:r>
    </w:p>
    <w:p w14:paraId="5D2D6677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se</w:t>
      </w:r>
    </w:p>
    <w:p w14:paraId="31C0C982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05638">
        <w:rPr>
          <w:rFonts w:ascii="Times New Roman" w:hAnsi="Times New Roman" w:cs="Times New Roman"/>
          <w:sz w:val="20"/>
          <w:szCs w:val="20"/>
        </w:rPr>
        <w:t>gu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nd</w:t>
      </w:r>
      <w:proofErr w:type="spellEnd"/>
    </w:p>
    <w:p w14:paraId="4BFF57BE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o)</w:t>
      </w:r>
    </w:p>
    <w:p w14:paraId="1DD5F3DC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DRAM PM SSD</w:t>
      </w:r>
    </w:p>
    <w:p w14:paraId="33F8FE9D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Figura 1. Comparação entre as velocidades.</w:t>
      </w:r>
    </w:p>
    <w:p w14:paraId="724C8FA5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a velocidade da memória RAM com a possibilidade de persistência dos dados como uma SSD. Também é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possı́vel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observar a grande diferença de velocidade entre DRAM e PM em comparação ao SSD. Foi necessário utilizar um gráfico em escala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logarı́tmica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, pois as velocidades delas são muito maiores em comparação ao SSD.</w:t>
      </w:r>
    </w:p>
    <w:p w14:paraId="7E2F9922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5. Conclusão Memória persistente (PM) apresenta uma série de vantagens em relação aos dispositivos de armazenamento secundário, como o HD e SSD. Entre elas a principal é a alta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veloci-dade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de acesso, permitindo a conexão direta ao barramento do processador. Neste artigo, analisou-se o uso da biblioteca PMDK para a programação de estruturas de dados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per-sistentes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. Os resultados iniciais indicam que a PM consegue um valor muito próximo ao da memória DRAM. Notou-se que a PM alia as principais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caracterı́sticas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da memória DRAM e do SSD: a velocidade e a persistência dos dados.</w:t>
      </w:r>
    </w:p>
    <w:p w14:paraId="0312B8A6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>Agradecimentos Este trabalho teve apoio dos processos nº 2021/05440-5 e 2018/15519-5, Fundação de Amparo à Pesquisa do Estado de São Paulo (FAPESP).</w:t>
      </w:r>
    </w:p>
    <w:p w14:paraId="00425F32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Referências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Baldassin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A., Barreto, J., Castro, D.,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Romano, P. (2021).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Persistent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: A</w:t>
      </w:r>
    </w:p>
    <w:p w14:paraId="0D4ABF10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survey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implementations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. ACM Comput.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Surv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., 54(7).</w:t>
      </w:r>
    </w:p>
    <w:p w14:paraId="07906E46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r w:rsidRPr="00205638">
        <w:rPr>
          <w:rFonts w:ascii="Times New Roman" w:hAnsi="Times New Roman" w:cs="Times New Roman"/>
          <w:sz w:val="20"/>
          <w:szCs w:val="20"/>
        </w:rPr>
        <w:t xml:space="preserve">Hennessy, J. L.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Patterson, D. A. (2017). Computer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Quantitative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Approach. Morgan Kaufmann, 6th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.</w:t>
      </w:r>
    </w:p>
    <w:p w14:paraId="4AE33620" w14:textId="77777777" w:rsidR="00205638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05638">
        <w:rPr>
          <w:rFonts w:ascii="Times New Roman" w:hAnsi="Times New Roman" w:cs="Times New Roman"/>
          <w:sz w:val="20"/>
          <w:szCs w:val="20"/>
        </w:rPr>
        <w:lastRenderedPageBreak/>
        <w:t>Scargall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S. (2020).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Persistent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- 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Comprehensive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05638">
        <w:rPr>
          <w:rFonts w:ascii="Times New Roman" w:hAnsi="Times New Roman" w:cs="Times New Roman"/>
          <w:sz w:val="20"/>
          <w:szCs w:val="20"/>
        </w:rPr>
        <w:t>for De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velopers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Apress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1st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edition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>.</w:t>
      </w:r>
    </w:p>
    <w:p w14:paraId="4948E123" w14:textId="09A045B0" w:rsidR="004F6AD1" w:rsidRPr="00205638" w:rsidRDefault="00205638" w:rsidP="0020563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05638">
        <w:rPr>
          <w:rFonts w:ascii="Times New Roman" w:hAnsi="Times New Roman" w:cs="Times New Roman"/>
          <w:sz w:val="20"/>
          <w:szCs w:val="20"/>
        </w:rPr>
        <w:t>Seltzer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M.,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Marathe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V.,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Byan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S. (2018).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NVM Carol: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Visions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NVM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Past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20563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Future</w:t>
      </w:r>
      <w:proofErr w:type="gramEnd"/>
      <w:r w:rsidRPr="00205638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Proceedings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IEEE 34th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International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Conference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Engineering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(ICDE), </w:t>
      </w:r>
      <w:proofErr w:type="spellStart"/>
      <w:r w:rsidRPr="00205638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205638">
        <w:rPr>
          <w:rFonts w:ascii="Times New Roman" w:hAnsi="Times New Roman" w:cs="Times New Roman"/>
          <w:sz w:val="20"/>
          <w:szCs w:val="20"/>
        </w:rPr>
        <w:t xml:space="preserve"> 15–23.</w:t>
      </w:r>
    </w:p>
    <w:sectPr w:rsidR="004F6AD1" w:rsidRPr="00205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D1"/>
    <w:rsid w:val="00205638"/>
    <w:rsid w:val="0024253A"/>
    <w:rsid w:val="004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B223"/>
  <w15:chartTrackingRefBased/>
  <w15:docId w15:val="{D4D5C0B5-E88A-4A1A-854C-96E50647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6A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6A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6A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6A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6A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6A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6A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6A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6A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6A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6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1713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Myllena Rodrigues</dc:creator>
  <cp:keywords/>
  <dc:description/>
  <cp:lastModifiedBy>Myllena Rodrigues</cp:lastModifiedBy>
  <cp:revision>1</cp:revision>
  <dcterms:created xsi:type="dcterms:W3CDTF">2025-10-20T11:39:00Z</dcterms:created>
  <dcterms:modified xsi:type="dcterms:W3CDTF">2025-10-20T11:53:00Z</dcterms:modified>
</cp:coreProperties>
</file>