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FCCA" w14:textId="6FC42E5A" w:rsidR="00F8371C" w:rsidRPr="00A35896" w:rsidRDefault="007A2D49" w:rsidP="007A2D49">
      <w:pPr>
        <w:jc w:val="center"/>
        <w:rPr>
          <w:rFonts w:ascii="Microsoft YaHei" w:eastAsia="Microsoft YaHei" w:hAnsi="Microsoft YaHei"/>
          <w:b/>
          <w:bCs/>
          <w:sz w:val="36"/>
          <w:szCs w:val="36"/>
        </w:rPr>
      </w:pPr>
      <w:r w:rsidRPr="007F5D51">
        <w:rPr>
          <w:rFonts w:ascii="Microsoft YaHei" w:eastAsia="Microsoft YaHei" w:hAnsi="Microsoft YaHei" w:hint="eastAsia"/>
          <w:b/>
          <w:bCs/>
          <w:sz w:val="36"/>
          <w:szCs w:val="36"/>
        </w:rPr>
        <w:t>myLLM 產學聯盟</w:t>
      </w:r>
      <w:r w:rsidR="005B15BB">
        <w:rPr>
          <w:rFonts w:ascii="Microsoft YaHei" w:hAnsi="Microsoft YaHei" w:hint="eastAsia"/>
          <w:b/>
          <w:bCs/>
          <w:sz w:val="36"/>
          <w:szCs w:val="36"/>
        </w:rPr>
        <w:t xml:space="preserve"> </w:t>
      </w:r>
      <w:r w:rsidRPr="007F5D51">
        <w:rPr>
          <w:rFonts w:ascii="Microsoft YaHei" w:eastAsia="Microsoft YaHei" w:hAnsi="Microsoft YaHei" w:hint="eastAsia"/>
          <w:b/>
          <w:bCs/>
          <w:sz w:val="36"/>
          <w:szCs w:val="36"/>
        </w:rPr>
        <w:t>服務</w:t>
      </w:r>
      <w:r w:rsidR="00A35896" w:rsidRPr="00A35896">
        <w:rPr>
          <w:rFonts w:ascii="Microsoft YaHei" w:eastAsia="Microsoft YaHei" w:hAnsi="Microsoft YaHei" w:hint="eastAsia"/>
          <w:b/>
          <w:bCs/>
          <w:sz w:val="36"/>
          <w:szCs w:val="36"/>
        </w:rPr>
        <w:t>說明</w:t>
      </w:r>
    </w:p>
    <w:p w14:paraId="2786D131" w14:textId="77777777" w:rsidR="00A35896" w:rsidRPr="00A35896" w:rsidRDefault="00A35896" w:rsidP="00A35896">
      <w:pPr>
        <w:snapToGrid w:val="0"/>
        <w:spacing w:after="0" w:line="240" w:lineRule="auto"/>
        <w:jc w:val="center"/>
        <w:rPr>
          <w:rFonts w:ascii="Microsoft YaHei" w:hAnsi="Microsoft YaHei"/>
          <w:b/>
          <w:bCs/>
          <w:sz w:val="36"/>
          <w:szCs w:val="36"/>
        </w:rPr>
      </w:pPr>
    </w:p>
    <w:p w14:paraId="2DF79119" w14:textId="3CD2BCCF" w:rsidR="00A35896" w:rsidRPr="00EC6E70" w:rsidRDefault="00A35896" w:rsidP="00A35896">
      <w:pPr>
        <w:snapToGrid w:val="0"/>
        <w:spacing w:afterLines="50" w:after="180" w:line="240" w:lineRule="auto"/>
        <w:ind w:firstLine="480"/>
        <w:rPr>
          <w:rFonts w:ascii="微軟正黑體" w:eastAsia="微軟正黑體" w:hAnsi="微軟正黑體"/>
          <w:b/>
          <w:bCs/>
          <w:sz w:val="28"/>
        </w:rPr>
      </w:pPr>
      <w:r w:rsidRPr="00EC6E70">
        <w:rPr>
          <w:rFonts w:ascii="微軟正黑體" w:eastAsia="微軟正黑體" w:hAnsi="微軟正黑體" w:hint="eastAsia"/>
          <w:b/>
          <w:bCs/>
          <w:sz w:val="28"/>
        </w:rPr>
        <w:t>國立陽明交通大學人工智慧系統檢測中心於 20</w:t>
      </w:r>
      <w:r w:rsidR="00075088" w:rsidRPr="00EC6E70">
        <w:rPr>
          <w:rFonts w:ascii="微軟正黑體" w:eastAsia="微軟正黑體" w:hAnsi="微軟正黑體" w:hint="eastAsia"/>
          <w:b/>
          <w:bCs/>
          <w:sz w:val="28"/>
        </w:rPr>
        <w:t>24</w:t>
      </w:r>
      <w:r w:rsidRPr="00EC6E70">
        <w:rPr>
          <w:rFonts w:ascii="微軟正黑體" w:eastAsia="微軟正黑體" w:hAnsi="微軟正黑體" w:hint="eastAsia"/>
          <w:b/>
          <w:bCs/>
          <w:sz w:val="28"/>
        </w:rPr>
        <w:t xml:space="preserve"> 年 </w:t>
      </w:r>
      <w:r w:rsidR="00075088" w:rsidRPr="00EC6E70">
        <w:rPr>
          <w:rFonts w:ascii="微軟正黑體" w:eastAsia="微軟正黑體" w:hAnsi="微軟正黑體" w:hint="eastAsia"/>
          <w:b/>
          <w:bCs/>
          <w:sz w:val="28"/>
        </w:rPr>
        <w:t>03</w:t>
      </w:r>
      <w:r w:rsidRPr="00EC6E70">
        <w:rPr>
          <w:rFonts w:ascii="微軟正黑體" w:eastAsia="微軟正黑體" w:hAnsi="微軟正黑體" w:hint="eastAsia"/>
          <w:b/>
          <w:bCs/>
          <w:sz w:val="28"/>
        </w:rPr>
        <w:t xml:space="preserve"> 月成立</w:t>
      </w:r>
      <w:r w:rsidR="00C5028D" w:rsidRPr="00EC6E70">
        <w:rPr>
          <w:rFonts w:ascii="微軟正黑體" w:eastAsia="微軟正黑體" w:hAnsi="微軟正黑體" w:hint="eastAsia"/>
          <w:b/>
          <w:bCs/>
          <w:sz w:val="28"/>
        </w:rPr>
        <w:t>「</w:t>
      </w:r>
      <w:r w:rsidR="00075088" w:rsidRPr="00EC6E70">
        <w:rPr>
          <w:rFonts w:ascii="微軟正黑體" w:eastAsia="微軟正黑體" w:hAnsi="微軟正黑體" w:hint="eastAsia"/>
          <w:b/>
          <w:bCs/>
          <w:sz w:val="28"/>
        </w:rPr>
        <w:t>myLLM 產學聯盟</w:t>
      </w:r>
      <w:r w:rsidR="00C5028D" w:rsidRPr="00EC6E70">
        <w:rPr>
          <w:rFonts w:ascii="微軟正黑體" w:eastAsia="微軟正黑體" w:hAnsi="微軟正黑體" w:hint="eastAsia"/>
          <w:b/>
          <w:bCs/>
          <w:sz w:val="28"/>
        </w:rPr>
        <w:t>」提以下服務：</w:t>
      </w:r>
    </w:p>
    <w:p w14:paraId="566CD7FB" w14:textId="77777777" w:rsidR="00EC6E70" w:rsidRPr="00EC6E70" w:rsidRDefault="00EC6E70" w:rsidP="00A35896">
      <w:pPr>
        <w:snapToGrid w:val="0"/>
        <w:spacing w:afterLines="50" w:after="180" w:line="240" w:lineRule="auto"/>
        <w:ind w:firstLine="480"/>
        <w:rPr>
          <w:rFonts w:ascii="微軟正黑體" w:eastAsia="微軟正黑體" w:hAnsi="微軟正黑體"/>
          <w:b/>
          <w:bCs/>
          <w:szCs w:val="22"/>
        </w:rPr>
      </w:pPr>
    </w:p>
    <w:p w14:paraId="1BC4DB51" w14:textId="77777777" w:rsidR="00340B03" w:rsidRPr="00EC6E70" w:rsidRDefault="00340B03" w:rsidP="00340B03">
      <w:pPr>
        <w:pStyle w:val="a9"/>
        <w:numPr>
          <w:ilvl w:val="0"/>
          <w:numId w:val="2"/>
        </w:numPr>
        <w:snapToGrid w:val="0"/>
        <w:spacing w:afterLines="50" w:after="180" w:line="240" w:lineRule="auto"/>
        <w:ind w:left="567"/>
        <w:rPr>
          <w:rFonts w:ascii="微軟正黑體" w:eastAsia="微軟正黑體" w:hAnsi="微軟正黑體"/>
          <w:b/>
          <w:bCs/>
          <w:sz w:val="28"/>
        </w:rPr>
      </w:pPr>
      <w:r w:rsidRPr="00340B03">
        <w:rPr>
          <w:rFonts w:ascii="微軟正黑體" w:eastAsia="微軟正黑體" w:hAnsi="微軟正黑體" w:hint="eastAsia"/>
          <w:b/>
          <w:bCs/>
          <w:sz w:val="28"/>
        </w:rPr>
        <w:t>LLM 生態圈交流</w:t>
      </w:r>
    </w:p>
    <w:p w14:paraId="30014584" w14:textId="72CB9CA8" w:rsidR="007A0A1C" w:rsidRPr="007A0A1C" w:rsidRDefault="007A0A1C" w:rsidP="007A0A1C">
      <w:pPr>
        <w:snapToGrid w:val="0"/>
        <w:spacing w:afterLines="50" w:after="180"/>
        <w:ind w:left="480"/>
        <w:rPr>
          <w:rFonts w:ascii="微軟正黑體" w:eastAsia="微軟正黑體" w:hAnsi="微軟正黑體"/>
          <w:b/>
          <w:bCs/>
          <w:szCs w:val="22"/>
        </w:rPr>
      </w:pPr>
      <w:r w:rsidRPr="007A0A1C">
        <w:rPr>
          <w:rFonts w:ascii="微軟正黑體" w:eastAsia="微軟正黑體" w:hAnsi="微軟正黑體" w:hint="eastAsia"/>
          <w:b/>
          <w:bCs/>
          <w:szCs w:val="22"/>
        </w:rPr>
        <w:t>國立陽明交通大學人工智慧系統檢測中心，致力於成為 AI 領域知識使用者與供應者之間的重要橋樑。為達成此目標，檢測中心積極舉辦一系列的活動，包括</w:t>
      </w:r>
      <w:r w:rsidR="00AE61ED" w:rsidRPr="00EC6E70">
        <w:rPr>
          <w:rFonts w:ascii="微軟正黑體" w:eastAsia="微軟正黑體" w:hAnsi="微軟正黑體" w:hint="eastAsia"/>
          <w:b/>
          <w:bCs/>
          <w:szCs w:val="22"/>
        </w:rPr>
        <w:t xml:space="preserve"> LLM</w:t>
      </w:r>
      <w:r w:rsidRPr="007A0A1C">
        <w:rPr>
          <w:rFonts w:ascii="微軟正黑體" w:eastAsia="微軟正黑體" w:hAnsi="微軟正黑體" w:hint="eastAsia"/>
          <w:b/>
          <w:bCs/>
          <w:szCs w:val="22"/>
        </w:rPr>
        <w:t>普適化的教育課程、展會、專業研討會，以及圍繞產業應用與智慧製造等重要議題的技術交流會。</w:t>
      </w:r>
    </w:p>
    <w:p w14:paraId="3BD4950C" w14:textId="77777777" w:rsidR="007A0A1C" w:rsidRPr="007A0A1C" w:rsidRDefault="007A0A1C" w:rsidP="007A0A1C">
      <w:pPr>
        <w:snapToGrid w:val="0"/>
        <w:spacing w:afterLines="50" w:after="180"/>
        <w:ind w:left="480"/>
        <w:rPr>
          <w:rFonts w:ascii="微軟正黑體" w:eastAsia="微軟正黑體" w:hAnsi="微軟正黑體"/>
          <w:b/>
          <w:bCs/>
          <w:szCs w:val="22"/>
        </w:rPr>
      </w:pPr>
      <w:r w:rsidRPr="007A0A1C">
        <w:rPr>
          <w:rFonts w:ascii="微軟正黑體" w:eastAsia="微軟正黑體" w:hAnsi="微軟正黑體" w:hint="eastAsia"/>
          <w:b/>
          <w:bCs/>
          <w:szCs w:val="22"/>
        </w:rPr>
        <w:t>透過這些活動為學術界、產業界以及廣大 AI 愛好者提供一個豐富的學習和交流平台，從而推動AI 技術的創新與應用，為所有參與者創建了一個互助互惠、共同成長的生態圈。</w:t>
      </w:r>
    </w:p>
    <w:p w14:paraId="14CC03E0" w14:textId="77777777" w:rsidR="00340B03" w:rsidRPr="00EC6E70" w:rsidRDefault="00340B03" w:rsidP="00EC6E70">
      <w:pPr>
        <w:pStyle w:val="a9"/>
        <w:numPr>
          <w:ilvl w:val="0"/>
          <w:numId w:val="2"/>
        </w:numPr>
        <w:snapToGrid w:val="0"/>
        <w:spacing w:beforeLines="100" w:before="360" w:afterLines="50" w:after="180" w:line="240" w:lineRule="auto"/>
        <w:ind w:left="567" w:hanging="482"/>
        <w:rPr>
          <w:rFonts w:ascii="微軟正黑體" w:eastAsia="微軟正黑體" w:hAnsi="微軟正黑體"/>
          <w:b/>
          <w:bCs/>
          <w:sz w:val="28"/>
        </w:rPr>
      </w:pPr>
      <w:r w:rsidRPr="00340B03">
        <w:rPr>
          <w:rFonts w:ascii="微軟正黑體" w:eastAsia="微軟正黑體" w:hAnsi="微軟正黑體" w:hint="eastAsia"/>
          <w:b/>
          <w:bCs/>
          <w:sz w:val="28"/>
        </w:rPr>
        <w:t>LLM 平台落地測試、評估與優化</w:t>
      </w:r>
    </w:p>
    <w:p w14:paraId="76565D59" w14:textId="77777777" w:rsidR="00831FA0" w:rsidRPr="00831FA0" w:rsidRDefault="00831FA0" w:rsidP="00831FA0">
      <w:pPr>
        <w:snapToGrid w:val="0"/>
        <w:spacing w:afterLines="50" w:after="180"/>
        <w:ind w:left="480"/>
        <w:rPr>
          <w:rFonts w:ascii="微軟正黑體" w:eastAsia="微軟正黑體" w:hAnsi="微軟正黑體"/>
          <w:b/>
          <w:bCs/>
          <w:szCs w:val="22"/>
        </w:rPr>
      </w:pPr>
      <w:r w:rsidRPr="00831FA0">
        <w:rPr>
          <w:rFonts w:ascii="微軟正黑體" w:eastAsia="微軟正黑體" w:hAnsi="微軟正黑體" w:hint="eastAsia"/>
          <w:b/>
          <w:bCs/>
          <w:szCs w:val="22"/>
        </w:rPr>
        <w:t>作為一家獨立第三方機構，我們為人工智慧系統提供全面的性能評估與基準測試服務，協助國內外產業執行 AI 系統效能評價、Benchmarking 並配對組合最優化的 Edge Landing 平台，幫助客戶全面了解其 AI 系統的性能水平，並與行業標準或其他同類系統進行比較。</w:t>
      </w:r>
    </w:p>
    <w:p w14:paraId="6A48180A" w14:textId="77777777" w:rsidR="00831FA0" w:rsidRPr="00831FA0" w:rsidRDefault="00831FA0" w:rsidP="00831FA0">
      <w:pPr>
        <w:snapToGrid w:val="0"/>
        <w:spacing w:afterLines="50" w:after="180"/>
        <w:ind w:left="480"/>
        <w:rPr>
          <w:rFonts w:ascii="微軟正黑體" w:eastAsia="微軟正黑體" w:hAnsi="微軟正黑體"/>
          <w:b/>
          <w:bCs/>
          <w:szCs w:val="22"/>
        </w:rPr>
      </w:pPr>
      <w:r w:rsidRPr="00831FA0">
        <w:rPr>
          <w:rFonts w:ascii="微軟正黑體" w:eastAsia="微軟正黑體" w:hAnsi="微軟正黑體" w:hint="eastAsia"/>
          <w:b/>
          <w:bCs/>
          <w:szCs w:val="22"/>
        </w:rPr>
        <w:t>透過我們的評估，客戶能夠準確識別出系統的優勢和潛在改進領域，進而優化其技術方案，提升整體性能表現，為客戶在人工智慧領域的創新和發展提供支持。</w:t>
      </w:r>
    </w:p>
    <w:p w14:paraId="07DE8F46" w14:textId="77777777" w:rsidR="007A0A1C" w:rsidRPr="007A0A1C" w:rsidRDefault="007A0A1C" w:rsidP="00EC6E70">
      <w:pPr>
        <w:pStyle w:val="a9"/>
        <w:numPr>
          <w:ilvl w:val="0"/>
          <w:numId w:val="2"/>
        </w:numPr>
        <w:snapToGrid w:val="0"/>
        <w:spacing w:beforeLines="100" w:before="360" w:afterLines="50" w:after="180" w:line="240" w:lineRule="auto"/>
        <w:ind w:left="567" w:hanging="482"/>
        <w:rPr>
          <w:rFonts w:ascii="微軟正黑體" w:eastAsia="微軟正黑體" w:hAnsi="微軟正黑體"/>
          <w:b/>
          <w:bCs/>
          <w:sz w:val="28"/>
        </w:rPr>
      </w:pPr>
      <w:r w:rsidRPr="007A0A1C">
        <w:rPr>
          <w:rFonts w:ascii="微軟正黑體" w:eastAsia="微軟正黑體" w:hAnsi="微軟正黑體" w:hint="eastAsia"/>
          <w:b/>
          <w:bCs/>
          <w:sz w:val="28"/>
        </w:rPr>
        <w:t>分析式與生成式 AI 平台設計</w:t>
      </w:r>
    </w:p>
    <w:p w14:paraId="66281C5A" w14:textId="491F8465" w:rsidR="00EC6E70" w:rsidRPr="00EC6E70" w:rsidRDefault="00EC6E70" w:rsidP="00EC6E70">
      <w:pPr>
        <w:snapToGrid w:val="0"/>
        <w:spacing w:afterLines="50" w:after="180" w:line="240" w:lineRule="auto"/>
        <w:ind w:left="480"/>
        <w:rPr>
          <w:rFonts w:ascii="微軟正黑體" w:eastAsia="微軟正黑體" w:hAnsi="微軟正黑體"/>
          <w:b/>
          <w:bCs/>
          <w:szCs w:val="22"/>
        </w:rPr>
      </w:pPr>
      <w:r w:rsidRPr="00EC6E70">
        <w:rPr>
          <w:rFonts w:ascii="微軟正黑體" w:eastAsia="微軟正黑體" w:hAnsi="微軟正黑體" w:hint="eastAsia"/>
          <w:b/>
          <w:bCs/>
          <w:szCs w:val="22"/>
        </w:rPr>
        <w:t xml:space="preserve">我們專注於為大型語言模型 (LLM) 提供針對特定主題的分析式 (analytic ) 與生成式(generative ) AI 平台相關服務，包括模型的微調校 (fine-tune ) 、嵌入式組件 (embedded ) 、檢索增強生成 (RAG </w:t>
      </w:r>
      <w:r w:rsidRPr="00EC6E70">
        <w:rPr>
          <w:rFonts w:ascii="微軟正黑體" w:eastAsia="微軟正黑體" w:hAnsi="微軟正黑體" w:hint="eastAsia"/>
          <w:b/>
          <w:bCs/>
          <w:szCs w:val="22"/>
          <w:vertAlign w:val="superscript"/>
        </w:rPr>
        <w:t>Plus</w:t>
      </w:r>
      <w:r w:rsidRPr="00EC6E70">
        <w:rPr>
          <w:rFonts w:ascii="微軟正黑體" w:eastAsia="微軟正黑體" w:hAnsi="微軟正黑體" w:hint="eastAsia"/>
          <w:b/>
          <w:bCs/>
          <w:szCs w:val="22"/>
        </w:rPr>
        <w:t xml:space="preserve"> )、智慧代理人 (agent) 以及動態工作流程 (chain) 等相關服務，為大型語言模型極大化性能與效能。</w:t>
      </w:r>
    </w:p>
    <w:p w14:paraId="2BD4A29B" w14:textId="77777777" w:rsidR="00EC6E70" w:rsidRPr="00EC6E70" w:rsidRDefault="00EC6E70" w:rsidP="00EC6E70">
      <w:pPr>
        <w:snapToGrid w:val="0"/>
        <w:spacing w:afterLines="50" w:after="180" w:line="240" w:lineRule="auto"/>
        <w:ind w:left="480"/>
        <w:rPr>
          <w:rFonts w:ascii="微軟正黑體" w:eastAsia="微軟正黑體" w:hAnsi="微軟正黑體"/>
          <w:b/>
          <w:bCs/>
          <w:szCs w:val="22"/>
        </w:rPr>
      </w:pPr>
      <w:r w:rsidRPr="00EC6E70">
        <w:rPr>
          <w:rFonts w:ascii="微軟正黑體" w:eastAsia="微軟正黑體" w:hAnsi="微軟正黑體" w:hint="eastAsia"/>
          <w:b/>
          <w:bCs/>
          <w:szCs w:val="22"/>
        </w:rPr>
        <w:t>透過我們的服務提升業務自動化水平，並在客戶服務、內容創作、數據分析等領域發揮 LLM 的最大潛力，推動業務創新與發展。</w:t>
      </w:r>
    </w:p>
    <w:p w14:paraId="30017620" w14:textId="77777777" w:rsidR="00C5028D" w:rsidRPr="00EC6E70" w:rsidRDefault="00C5028D" w:rsidP="007A0A1C">
      <w:pPr>
        <w:pStyle w:val="a9"/>
        <w:snapToGrid w:val="0"/>
        <w:spacing w:afterLines="50" w:after="180" w:line="240" w:lineRule="auto"/>
        <w:ind w:left="567"/>
        <w:rPr>
          <w:rFonts w:ascii="微軟正黑體" w:eastAsia="微軟正黑體" w:hAnsi="微軟正黑體"/>
          <w:b/>
          <w:bCs/>
          <w:sz w:val="28"/>
        </w:rPr>
      </w:pPr>
    </w:p>
    <w:p w14:paraId="67E329FC" w14:textId="77777777" w:rsidR="007A2D49" w:rsidRDefault="007A2D49"/>
    <w:p w14:paraId="195746B2" w14:textId="484F3BD1" w:rsidR="007A2D49" w:rsidRDefault="00406523">
      <w:r w:rsidRPr="00406523">
        <w:rPr>
          <w:noProof/>
        </w:rPr>
        <w:lastRenderedPageBreak/>
        <w:drawing>
          <wp:inline distT="0" distB="0" distL="0" distR="0" wp14:anchorId="22B6A841" wp14:editId="46B5CF66">
            <wp:extent cx="6673897" cy="3590925"/>
            <wp:effectExtent l="0" t="0" r="0" b="0"/>
            <wp:docPr id="21" name="圖片 20" descr="一張含有 文字, 螢幕擷取畫面, 字型, 數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43199AE4-7091-6233-509B-2256A911BB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0" descr="一張含有 文字, 螢幕擷取畫面, 字型, 數字 的圖片&#10;&#10;自動產生的描述">
                      <a:extLst>
                        <a:ext uri="{FF2B5EF4-FFF2-40B4-BE49-F238E27FC236}">
                          <a16:creationId xmlns:a16="http://schemas.microsoft.com/office/drawing/2014/main" id="{43199AE4-7091-6233-509B-2256A911BB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8273" cy="35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9EB9" w14:textId="55DD7358" w:rsidR="00406523" w:rsidRPr="007A29D7" w:rsidRDefault="007A29D7" w:rsidP="007A29D7">
      <w:pPr>
        <w:jc w:val="center"/>
        <w:rPr>
          <w:rFonts w:ascii="Microsoft YaHei" w:eastAsia="Microsoft YaHei" w:hAnsi="Microsoft YaHei"/>
          <w:b/>
          <w:bCs/>
        </w:rPr>
      </w:pPr>
      <w:r w:rsidRPr="007A29D7">
        <w:rPr>
          <w:rFonts w:ascii="Microsoft YaHei" w:eastAsia="Microsoft YaHei" w:hAnsi="Microsoft YaHei" w:hint="eastAsia"/>
          <w:b/>
          <w:bCs/>
        </w:rPr>
        <w:t>myLLM 產學聯盟 核心服務</w:t>
      </w:r>
    </w:p>
    <w:p w14:paraId="33587669" w14:textId="2E8D8EA0" w:rsidR="00406523" w:rsidRDefault="007A29D7">
      <w:r>
        <w:rPr>
          <w:noProof/>
        </w:rPr>
        <w:drawing>
          <wp:inline distT="0" distB="0" distL="0" distR="0" wp14:anchorId="7029B112" wp14:editId="33A6864D">
            <wp:extent cx="6633963" cy="4171950"/>
            <wp:effectExtent l="0" t="0" r="0" b="0"/>
            <wp:docPr id="163609616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269" cy="4186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163774" w14:textId="113D44D5" w:rsidR="007A29D7" w:rsidRPr="007A29D7" w:rsidRDefault="007A29D7" w:rsidP="007A29D7">
      <w:pPr>
        <w:jc w:val="center"/>
        <w:rPr>
          <w:rFonts w:ascii="Microsoft YaHei" w:eastAsia="Microsoft YaHei" w:hAnsi="Microsoft YaHei"/>
          <w:b/>
          <w:bCs/>
        </w:rPr>
      </w:pPr>
      <w:r w:rsidRPr="007A29D7">
        <w:rPr>
          <w:rFonts w:ascii="Microsoft YaHei" w:eastAsia="Microsoft YaHei" w:hAnsi="Microsoft YaHei" w:hint="eastAsia"/>
          <w:b/>
          <w:bCs/>
        </w:rPr>
        <w:t>myLLM 產學聯盟 核心技術</w:t>
      </w:r>
    </w:p>
    <w:p w14:paraId="478C4A96" w14:textId="55FD63AE" w:rsidR="005B15BB" w:rsidRDefault="005B15BB">
      <w:pPr>
        <w:widowControl/>
      </w:pPr>
      <w:r>
        <w:br w:type="page"/>
      </w:r>
    </w:p>
    <w:p w14:paraId="4C0C09AD" w14:textId="0E6CD47F" w:rsidR="005B15BB" w:rsidRPr="00A35896" w:rsidRDefault="005B15BB" w:rsidP="005B15BB">
      <w:pPr>
        <w:jc w:val="center"/>
        <w:rPr>
          <w:rFonts w:ascii="Microsoft YaHei" w:eastAsia="Microsoft YaHei" w:hAnsi="Microsoft YaHei"/>
          <w:b/>
          <w:bCs/>
          <w:sz w:val="36"/>
          <w:szCs w:val="36"/>
        </w:rPr>
      </w:pPr>
      <w:r w:rsidRPr="007F5D51">
        <w:rPr>
          <w:rFonts w:ascii="Microsoft YaHei" w:eastAsia="Microsoft YaHei" w:hAnsi="Microsoft YaHei" w:hint="eastAsia"/>
          <w:b/>
          <w:bCs/>
          <w:sz w:val="36"/>
          <w:szCs w:val="36"/>
        </w:rPr>
        <w:lastRenderedPageBreak/>
        <w:t>myLLM 產學聯盟</w:t>
      </w:r>
      <w:r w:rsidRPr="005B15BB">
        <w:rPr>
          <w:rFonts w:ascii="Microsoft YaHei" w:eastAsia="Microsoft YaHei" w:hAnsi="Microsoft YaHei" w:hint="eastAsia"/>
          <w:b/>
          <w:bCs/>
          <w:sz w:val="36"/>
          <w:szCs w:val="36"/>
        </w:rPr>
        <w:t xml:space="preserve"> 會員</w:t>
      </w:r>
      <w:r w:rsidRPr="00A35896">
        <w:rPr>
          <w:rFonts w:ascii="Microsoft YaHei" w:eastAsia="Microsoft YaHei" w:hAnsi="Microsoft YaHei" w:hint="eastAsia"/>
          <w:b/>
          <w:bCs/>
          <w:sz w:val="36"/>
          <w:szCs w:val="36"/>
        </w:rPr>
        <w:t>說明</w:t>
      </w:r>
    </w:p>
    <w:p w14:paraId="74E5DE6D" w14:textId="77777777" w:rsidR="007A29D7" w:rsidRDefault="007A29D7"/>
    <w:p w14:paraId="7AB10B65" w14:textId="288D9ED3" w:rsidR="006B3419" w:rsidRPr="00900806" w:rsidRDefault="00900806" w:rsidP="00900806">
      <w:pPr>
        <w:snapToGrid w:val="0"/>
        <w:spacing w:afterLines="50" w:after="180" w:line="240" w:lineRule="auto"/>
        <w:ind w:firstLine="480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myLLM</w:t>
      </w:r>
      <w:r w:rsidR="006B3419" w:rsidRPr="00900806">
        <w:rPr>
          <w:rFonts w:ascii="微軟正黑體" w:eastAsia="微軟正黑體" w:hAnsi="微軟正黑體" w:hint="eastAsia"/>
          <w:b/>
          <w:bCs/>
          <w:sz w:val="28"/>
          <w:szCs w:val="28"/>
        </w:rPr>
        <w:t>產學聯盟會員分為三類：</w:t>
      </w:r>
      <w:r w:rsidR="00B16CC9">
        <w:rPr>
          <w:rFonts w:ascii="微軟正黑體" w:eastAsia="微軟正黑體" w:hAnsi="微軟正黑體" w:hint="eastAsia"/>
          <w:b/>
          <w:bCs/>
          <w:sz w:val="28"/>
          <w:szCs w:val="28"/>
        </w:rPr>
        <w:t>企業</w:t>
      </w:r>
      <w:r w:rsidR="006B3419" w:rsidRPr="00900806">
        <w:rPr>
          <w:rFonts w:ascii="微軟正黑體" w:eastAsia="微軟正黑體" w:hAnsi="微軟正黑體" w:hint="eastAsia"/>
          <w:b/>
          <w:bCs/>
          <w:sz w:val="28"/>
          <w:szCs w:val="28"/>
        </w:rPr>
        <w:t>會員、</w:t>
      </w:r>
      <w:r w:rsidR="00D705C3">
        <w:rPr>
          <w:rFonts w:ascii="微軟正黑體" w:eastAsia="微軟正黑體" w:hAnsi="微軟正黑體" w:hint="eastAsia"/>
          <w:b/>
          <w:bCs/>
          <w:sz w:val="28"/>
        </w:rPr>
        <w:t>研發</w:t>
      </w:r>
      <w:r w:rsidR="006B3419" w:rsidRPr="00900806">
        <w:rPr>
          <w:rFonts w:ascii="微軟正黑體" w:eastAsia="微軟正黑體" w:hAnsi="微軟正黑體" w:hint="eastAsia"/>
          <w:b/>
          <w:bCs/>
          <w:sz w:val="28"/>
          <w:szCs w:val="28"/>
        </w:rPr>
        <w:t>會員和專案會員</w:t>
      </w:r>
      <w:r w:rsidR="00B16CC9">
        <w:rPr>
          <w:rFonts w:ascii="微軟正黑體" w:eastAsia="微軟正黑體" w:hAnsi="微軟正黑體" w:hint="eastAsia"/>
          <w:b/>
          <w:bCs/>
          <w:sz w:val="28"/>
          <w:szCs w:val="28"/>
        </w:rPr>
        <w:t>，</w:t>
      </w:r>
      <w:r w:rsidR="003266DC">
        <w:rPr>
          <w:rFonts w:ascii="微軟正黑體" w:eastAsia="微軟正黑體" w:hAnsi="微軟正黑體" w:hint="eastAsia"/>
          <w:b/>
          <w:bCs/>
          <w:sz w:val="28"/>
          <w:szCs w:val="28"/>
        </w:rPr>
        <w:t>基於服務</w:t>
      </w:r>
      <w:r w:rsidR="00310AEE">
        <w:rPr>
          <w:rFonts w:ascii="微軟正黑體" w:eastAsia="微軟正黑體" w:hAnsi="微軟正黑體" w:hint="eastAsia"/>
          <w:b/>
          <w:bCs/>
          <w:sz w:val="28"/>
          <w:szCs w:val="28"/>
        </w:rPr>
        <w:t>品質</w:t>
      </w:r>
      <w:r w:rsidR="003266DC">
        <w:rPr>
          <w:rFonts w:ascii="微軟正黑體" w:eastAsia="微軟正黑體" w:hAnsi="微軟正黑體" w:hint="eastAsia"/>
          <w:b/>
          <w:bCs/>
          <w:sz w:val="28"/>
          <w:szCs w:val="28"/>
        </w:rPr>
        <w:t>的考慮，目前不開放個人會員。</w:t>
      </w:r>
    </w:p>
    <w:p w14:paraId="45EB6233" w14:textId="77777777" w:rsidR="00900806" w:rsidRPr="00EC6E70" w:rsidRDefault="00900806" w:rsidP="00900806">
      <w:pPr>
        <w:snapToGrid w:val="0"/>
        <w:spacing w:afterLines="50" w:after="180" w:line="240" w:lineRule="auto"/>
        <w:ind w:firstLine="480"/>
        <w:rPr>
          <w:rFonts w:ascii="微軟正黑體" w:eastAsia="微軟正黑體" w:hAnsi="微軟正黑體"/>
          <w:b/>
          <w:bCs/>
          <w:szCs w:val="22"/>
        </w:rPr>
      </w:pPr>
    </w:p>
    <w:p w14:paraId="72230FD2" w14:textId="2A158B2B" w:rsidR="00900806" w:rsidRPr="00EC6E70" w:rsidRDefault="00B16CC9" w:rsidP="00900806">
      <w:pPr>
        <w:pStyle w:val="a9"/>
        <w:numPr>
          <w:ilvl w:val="0"/>
          <w:numId w:val="2"/>
        </w:numPr>
        <w:snapToGrid w:val="0"/>
        <w:spacing w:afterLines="50" w:after="180" w:line="240" w:lineRule="auto"/>
        <w:ind w:left="567"/>
        <w:rPr>
          <w:rFonts w:ascii="微軟正黑體" w:eastAsia="微軟正黑體" w:hAnsi="微軟正黑體"/>
          <w:b/>
          <w:bCs/>
          <w:sz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企業</w:t>
      </w:r>
      <w:r w:rsidRPr="00900806">
        <w:rPr>
          <w:rFonts w:ascii="微軟正黑體" w:eastAsia="微軟正黑體" w:hAnsi="微軟正黑體" w:hint="eastAsia"/>
          <w:b/>
          <w:bCs/>
          <w:sz w:val="28"/>
          <w:szCs w:val="28"/>
        </w:rPr>
        <w:t>會員</w:t>
      </w:r>
      <w:r w:rsidR="005371BF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(10萬/年費)</w:t>
      </w:r>
    </w:p>
    <w:p w14:paraId="0AFD2862" w14:textId="6D67D251" w:rsidR="00547F48" w:rsidRPr="00547F48" w:rsidRDefault="00547F48" w:rsidP="00BB7F1C">
      <w:pPr>
        <w:snapToGrid w:val="0"/>
        <w:spacing w:line="240" w:lineRule="auto"/>
        <w:ind w:left="567" w:rightChars="167" w:right="401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企業</w:t>
      </w:r>
      <w:r w:rsidRPr="00547F48">
        <w:rPr>
          <w:rFonts w:ascii="微軟正黑體" w:eastAsia="微軟正黑體" w:hAnsi="微軟正黑體" w:hint="eastAsia"/>
          <w:b/>
          <w:bCs/>
        </w:rPr>
        <w:t>會員主要的福利是</w:t>
      </w:r>
      <w:r w:rsidR="004A3C7D">
        <w:rPr>
          <w:rFonts w:ascii="微軟正黑體" w:eastAsia="微軟正黑體" w:hAnsi="微軟正黑體" w:hint="eastAsia"/>
          <w:b/>
          <w:bCs/>
        </w:rPr>
        <w:t>：</w:t>
      </w:r>
    </w:p>
    <w:p w14:paraId="7D939D32" w14:textId="77777777" w:rsidR="00547F48" w:rsidRDefault="00310AEE" w:rsidP="00547F48">
      <w:pPr>
        <w:pStyle w:val="a9"/>
        <w:numPr>
          <w:ilvl w:val="0"/>
          <w:numId w:val="4"/>
        </w:numPr>
        <w:snapToGrid w:val="0"/>
        <w:spacing w:afterLines="50" w:after="180"/>
        <w:ind w:rightChars="167" w:right="401"/>
        <w:jc w:val="both"/>
        <w:rPr>
          <w:rFonts w:ascii="微軟正黑體" w:eastAsia="微軟正黑體" w:hAnsi="微軟正黑體"/>
          <w:b/>
          <w:bCs/>
        </w:rPr>
      </w:pPr>
      <w:r w:rsidRPr="00547F48">
        <w:rPr>
          <w:rFonts w:ascii="微軟正黑體" w:eastAsia="微軟正黑體" w:hAnsi="微軟正黑體" w:hint="eastAsia"/>
          <w:b/>
          <w:bCs/>
        </w:rPr>
        <w:t>參與每年</w:t>
      </w:r>
      <w:r w:rsidR="005000DE" w:rsidRPr="00547F48">
        <w:rPr>
          <w:rFonts w:ascii="微軟正黑體" w:eastAsia="微軟正黑體" w:hAnsi="微軟正黑體" w:hint="eastAsia"/>
          <w:b/>
          <w:bCs/>
          <w:color w:val="FF0000"/>
          <w:u w:val="single"/>
        </w:rPr>
        <w:t>邀請制</w:t>
      </w:r>
      <w:r w:rsidR="005000DE" w:rsidRPr="00547F48">
        <w:rPr>
          <w:rFonts w:ascii="微軟正黑體" w:eastAsia="微軟正黑體" w:hAnsi="微軟正黑體" w:hint="eastAsia"/>
          <w:b/>
          <w:bCs/>
        </w:rPr>
        <w:t>的春、秋季技術發布會</w:t>
      </w:r>
    </w:p>
    <w:p w14:paraId="30BF7467" w14:textId="68BE7E90" w:rsidR="00547F48" w:rsidRDefault="006B3419" w:rsidP="00547F48">
      <w:pPr>
        <w:pStyle w:val="a9"/>
        <w:numPr>
          <w:ilvl w:val="0"/>
          <w:numId w:val="4"/>
        </w:numPr>
        <w:snapToGrid w:val="0"/>
        <w:spacing w:afterLines="50" w:after="180"/>
        <w:ind w:rightChars="167" w:right="401"/>
        <w:jc w:val="both"/>
        <w:rPr>
          <w:rFonts w:ascii="微軟正黑體" w:eastAsia="微軟正黑體" w:hAnsi="微軟正黑體"/>
          <w:b/>
          <w:bCs/>
        </w:rPr>
      </w:pPr>
      <w:r w:rsidRPr="00547F48">
        <w:rPr>
          <w:rFonts w:ascii="微軟正黑體" w:eastAsia="微軟正黑體" w:hAnsi="微軟正黑體" w:hint="eastAsia"/>
          <w:b/>
          <w:bCs/>
        </w:rPr>
        <w:t>優先參與</w:t>
      </w:r>
      <w:r w:rsidR="00310AEE" w:rsidRPr="00547F48">
        <w:rPr>
          <w:rFonts w:ascii="微軟正黑體" w:eastAsia="微軟正黑體" w:hAnsi="微軟正黑體" w:hint="eastAsia"/>
          <w:b/>
          <w:bCs/>
        </w:rPr>
        <w:t>每</w:t>
      </w:r>
      <w:r w:rsidR="00547F48" w:rsidRPr="00547F48">
        <w:rPr>
          <w:rFonts w:ascii="微軟正黑體" w:eastAsia="微軟正黑體" w:hAnsi="微軟正黑體" w:hint="eastAsia"/>
          <w:b/>
          <w:bCs/>
        </w:rPr>
        <w:t>年</w:t>
      </w:r>
      <w:r w:rsidR="00BE38C9">
        <w:rPr>
          <w:rFonts w:ascii="微軟正黑體" w:eastAsia="微軟正黑體" w:hAnsi="微軟正黑體" w:hint="eastAsia"/>
          <w:b/>
          <w:bCs/>
        </w:rPr>
        <w:t>限定名額的</w:t>
      </w:r>
      <w:r w:rsidRPr="00547F48">
        <w:rPr>
          <w:rFonts w:ascii="微軟正黑體" w:eastAsia="微軟正黑體" w:hAnsi="微軟正黑體" w:hint="eastAsia"/>
          <w:b/>
          <w:bCs/>
        </w:rPr>
        <w:t>年會</w:t>
      </w:r>
    </w:p>
    <w:p w14:paraId="67B371C3" w14:textId="2E0449F0" w:rsidR="00BB7F1C" w:rsidRDefault="006B3419" w:rsidP="00547F48">
      <w:pPr>
        <w:pStyle w:val="a9"/>
        <w:numPr>
          <w:ilvl w:val="0"/>
          <w:numId w:val="4"/>
        </w:numPr>
        <w:snapToGrid w:val="0"/>
        <w:spacing w:afterLines="50" w:after="180"/>
        <w:ind w:rightChars="167" w:right="401"/>
        <w:jc w:val="both"/>
        <w:rPr>
          <w:rFonts w:ascii="微軟正黑體" w:eastAsia="微軟正黑體" w:hAnsi="微軟正黑體"/>
          <w:b/>
          <w:bCs/>
        </w:rPr>
      </w:pPr>
      <w:r w:rsidRPr="00547F48">
        <w:rPr>
          <w:rFonts w:ascii="微軟正黑體" w:eastAsia="微軟正黑體" w:hAnsi="微軟正黑體" w:hint="eastAsia"/>
          <w:b/>
          <w:bCs/>
        </w:rPr>
        <w:t>分享研究成果報告</w:t>
      </w:r>
    </w:p>
    <w:p w14:paraId="11D83FD2" w14:textId="27136487" w:rsidR="00EC1FF6" w:rsidRDefault="00EC1FF6" w:rsidP="00547F48">
      <w:pPr>
        <w:pStyle w:val="a9"/>
        <w:numPr>
          <w:ilvl w:val="0"/>
          <w:numId w:val="4"/>
        </w:numPr>
        <w:snapToGrid w:val="0"/>
        <w:spacing w:afterLines="50" w:after="180"/>
        <w:ind w:rightChars="167" w:right="401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分享每月兩次的</w:t>
      </w:r>
      <w:r w:rsidR="00D705C3">
        <w:rPr>
          <w:rFonts w:ascii="微軟正黑體" w:eastAsia="微軟正黑體" w:hAnsi="微軟正黑體" w:hint="eastAsia"/>
          <w:b/>
          <w:bCs/>
        </w:rPr>
        <w:t>電子報</w:t>
      </w:r>
    </w:p>
    <w:p w14:paraId="2F6E8C4A" w14:textId="77777777" w:rsidR="00BB7F1C" w:rsidRDefault="006B3419" w:rsidP="00547F48">
      <w:pPr>
        <w:pStyle w:val="a9"/>
        <w:numPr>
          <w:ilvl w:val="0"/>
          <w:numId w:val="4"/>
        </w:numPr>
        <w:snapToGrid w:val="0"/>
        <w:spacing w:afterLines="50" w:after="180"/>
        <w:ind w:rightChars="167" w:right="401"/>
        <w:jc w:val="both"/>
        <w:rPr>
          <w:rFonts w:ascii="微軟正黑體" w:eastAsia="微軟正黑體" w:hAnsi="微軟正黑體"/>
          <w:b/>
          <w:bCs/>
        </w:rPr>
      </w:pPr>
      <w:r w:rsidRPr="00547F48">
        <w:rPr>
          <w:rFonts w:ascii="微軟正黑體" w:eastAsia="微軟正黑體" w:hAnsi="微軟正黑體" w:hint="eastAsia"/>
          <w:b/>
          <w:bCs/>
        </w:rPr>
        <w:t xml:space="preserve">使用檢測中心自建的 </w:t>
      </w:r>
      <w:r w:rsidRPr="00547F48">
        <w:rPr>
          <w:rFonts w:ascii="微軟正黑體" w:eastAsia="微軟正黑體" w:hAnsi="微軟正黑體"/>
          <w:b/>
          <w:bCs/>
        </w:rPr>
        <w:t>GAI</w:t>
      </w:r>
      <w:r w:rsidRPr="00547F48">
        <w:rPr>
          <w:rFonts w:ascii="微軟正黑體" w:eastAsia="微軟正黑體" w:hAnsi="微軟正黑體" w:hint="eastAsia"/>
          <w:b/>
          <w:bCs/>
        </w:rPr>
        <w:t>範例工具</w:t>
      </w:r>
    </w:p>
    <w:p w14:paraId="5DC58045" w14:textId="59656798" w:rsidR="006B3419" w:rsidRDefault="00D705C3" w:rsidP="00BB7F1C">
      <w:pPr>
        <w:pStyle w:val="a9"/>
        <w:snapToGrid w:val="0"/>
        <w:spacing w:beforeLines="100" w:before="360" w:afterLines="50" w:after="180" w:line="240" w:lineRule="auto"/>
        <w:ind w:left="567" w:rightChars="167" w:right="401"/>
        <w:contextualSpacing w:val="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企業</w:t>
      </w:r>
      <w:r w:rsidR="006B3419" w:rsidRPr="00547F48">
        <w:rPr>
          <w:rFonts w:ascii="微軟正黑體" w:eastAsia="微軟正黑體" w:hAnsi="微軟正黑體" w:hint="eastAsia"/>
          <w:b/>
          <w:bCs/>
        </w:rPr>
        <w:t>會員服務主要目的是希望能將會員融合成一個共享生態圈，以達到生態圈的合作與資訊分享機制。</w:t>
      </w:r>
    </w:p>
    <w:p w14:paraId="15339E5E" w14:textId="66FD3F8B" w:rsidR="00D705C3" w:rsidRPr="00EC6E70" w:rsidRDefault="00D705C3" w:rsidP="000D220D">
      <w:pPr>
        <w:pStyle w:val="a9"/>
        <w:numPr>
          <w:ilvl w:val="0"/>
          <w:numId w:val="2"/>
        </w:numPr>
        <w:snapToGrid w:val="0"/>
        <w:spacing w:beforeLines="50" w:before="180" w:afterLines="50" w:after="180" w:line="240" w:lineRule="auto"/>
        <w:ind w:left="567" w:hanging="482"/>
        <w:contextualSpacing w:val="0"/>
        <w:rPr>
          <w:rFonts w:ascii="微軟正黑體" w:eastAsia="微軟正黑體" w:hAnsi="微軟正黑體"/>
          <w:b/>
          <w:bCs/>
          <w:sz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研發</w:t>
      </w:r>
      <w:r w:rsidRPr="00900806">
        <w:rPr>
          <w:rFonts w:ascii="微軟正黑體" w:eastAsia="微軟正黑體" w:hAnsi="微軟正黑體" w:hint="eastAsia"/>
          <w:b/>
          <w:bCs/>
          <w:sz w:val="28"/>
          <w:szCs w:val="28"/>
        </w:rPr>
        <w:t>會員</w:t>
      </w:r>
      <w:r w:rsidR="005371BF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(20萬/年費)</w:t>
      </w:r>
    </w:p>
    <w:p w14:paraId="5375C424" w14:textId="4756B9F0" w:rsidR="006B3419" w:rsidRPr="00C04AA5" w:rsidRDefault="006B3419" w:rsidP="00D705C3">
      <w:pPr>
        <w:snapToGrid w:val="0"/>
        <w:ind w:leftChars="236" w:left="566" w:rightChars="167" w:right="401"/>
        <w:jc w:val="both"/>
        <w:rPr>
          <w:rFonts w:ascii="微軟正黑體" w:eastAsia="微軟正黑體" w:hAnsi="微軟正黑體"/>
          <w:b/>
          <w:bCs/>
        </w:rPr>
      </w:pPr>
      <w:r w:rsidRPr="00C04AA5">
        <w:rPr>
          <w:rFonts w:ascii="微軟正黑體" w:eastAsia="微軟正黑體" w:hAnsi="微軟正黑體" w:hint="eastAsia"/>
          <w:b/>
          <w:bCs/>
        </w:rPr>
        <w:t>研發會員主要的福利是</w:t>
      </w:r>
      <w:r w:rsidR="004A3C7D">
        <w:rPr>
          <w:rFonts w:ascii="微軟正黑體" w:eastAsia="微軟正黑體" w:hAnsi="微軟正黑體" w:hint="eastAsia"/>
          <w:b/>
          <w:bCs/>
        </w:rPr>
        <w:t>：</w:t>
      </w:r>
      <w:r w:rsidR="00D33A4D">
        <w:rPr>
          <w:rFonts w:ascii="微軟正黑體" w:eastAsia="微軟正黑體" w:hAnsi="微軟正黑體" w:hint="eastAsia"/>
          <w:b/>
          <w:bCs/>
        </w:rPr>
        <w:t>前述企業</w:t>
      </w:r>
      <w:r w:rsidR="00D33A4D" w:rsidRPr="00547F48">
        <w:rPr>
          <w:rFonts w:ascii="微軟正黑體" w:eastAsia="微軟正黑體" w:hAnsi="微軟正黑體" w:hint="eastAsia"/>
          <w:b/>
          <w:bCs/>
        </w:rPr>
        <w:t>會員福</w:t>
      </w:r>
      <w:r w:rsidR="004A3C7D">
        <w:rPr>
          <w:rFonts w:ascii="微軟正黑體" w:eastAsia="微軟正黑體" w:hAnsi="微軟正黑體" w:hint="eastAsia"/>
          <w:b/>
          <w:bCs/>
        </w:rPr>
        <w:t>利再加上</w:t>
      </w:r>
    </w:p>
    <w:p w14:paraId="49B1F38E" w14:textId="4C339B91" w:rsidR="00490957" w:rsidRDefault="001B0D60" w:rsidP="001A6368">
      <w:pPr>
        <w:pStyle w:val="a9"/>
        <w:numPr>
          <w:ilvl w:val="0"/>
          <w:numId w:val="6"/>
        </w:numPr>
        <w:snapToGrid w:val="0"/>
        <w:spacing w:afterLines="50" w:after="180"/>
        <w:ind w:rightChars="167" w:right="401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參與</w:t>
      </w:r>
      <w:r w:rsidR="00490957">
        <w:rPr>
          <w:rFonts w:ascii="微軟正黑體" w:eastAsia="微軟正黑體" w:hAnsi="微軟正黑體" w:hint="eastAsia"/>
          <w:b/>
          <w:bCs/>
        </w:rPr>
        <w:t>技術課程</w:t>
      </w:r>
    </w:p>
    <w:p w14:paraId="5DF852F8" w14:textId="699622C2" w:rsidR="006B3419" w:rsidRDefault="006B3419" w:rsidP="001A6368">
      <w:pPr>
        <w:pStyle w:val="a9"/>
        <w:numPr>
          <w:ilvl w:val="0"/>
          <w:numId w:val="6"/>
        </w:numPr>
        <w:snapToGrid w:val="0"/>
        <w:spacing w:afterLines="50" w:after="180"/>
        <w:ind w:rightChars="167" w:right="401"/>
        <w:jc w:val="both"/>
        <w:rPr>
          <w:rFonts w:ascii="微軟正黑體" w:eastAsia="微軟正黑體" w:hAnsi="微軟正黑體"/>
          <w:b/>
          <w:bCs/>
        </w:rPr>
      </w:pPr>
      <w:r w:rsidRPr="00C04AA5">
        <w:rPr>
          <w:rFonts w:ascii="微軟正黑體" w:eastAsia="微軟正黑體" w:hAnsi="微軟正黑體" w:hint="eastAsia"/>
          <w:b/>
          <w:bCs/>
        </w:rPr>
        <w:t>在指定的時數內要求1對1顧問指導</w:t>
      </w:r>
    </w:p>
    <w:p w14:paraId="48E88552" w14:textId="03881D47" w:rsidR="00B93AE7" w:rsidRPr="00C04AA5" w:rsidRDefault="00B93AE7" w:rsidP="001A6368">
      <w:pPr>
        <w:pStyle w:val="a9"/>
        <w:numPr>
          <w:ilvl w:val="0"/>
          <w:numId w:val="6"/>
        </w:numPr>
        <w:snapToGrid w:val="0"/>
        <w:spacing w:afterLines="50" w:after="180"/>
        <w:ind w:rightChars="167" w:right="401"/>
        <w:jc w:val="both"/>
        <w:rPr>
          <w:rFonts w:ascii="微軟正黑體" w:eastAsia="微軟正黑體" w:hAnsi="微軟正黑體"/>
          <w:b/>
          <w:bCs/>
        </w:rPr>
      </w:pPr>
      <w:r w:rsidRPr="00C04AA5">
        <w:rPr>
          <w:rFonts w:ascii="微軟正黑體" w:eastAsia="微軟正黑體" w:hAnsi="微軟正黑體" w:hint="eastAsia"/>
          <w:b/>
          <w:bCs/>
        </w:rPr>
        <w:t>在指定的時數內要求1對1</w:t>
      </w:r>
      <w:r>
        <w:rPr>
          <w:rFonts w:ascii="微軟正黑體" w:eastAsia="微軟正黑體" w:hAnsi="微軟正黑體" w:hint="eastAsia"/>
          <w:b/>
          <w:bCs/>
        </w:rPr>
        <w:t>技術</w:t>
      </w:r>
      <w:r w:rsidRPr="00C04AA5">
        <w:rPr>
          <w:rFonts w:ascii="微軟正黑體" w:eastAsia="微軟正黑體" w:hAnsi="微軟正黑體" w:hint="eastAsia"/>
          <w:b/>
          <w:bCs/>
        </w:rPr>
        <w:t>指導</w:t>
      </w:r>
    </w:p>
    <w:p w14:paraId="0199C49D" w14:textId="4F21C55F" w:rsidR="00FC0FF7" w:rsidRDefault="006B3419" w:rsidP="00B93AE7">
      <w:pPr>
        <w:pStyle w:val="a9"/>
        <w:snapToGrid w:val="0"/>
        <w:spacing w:beforeLines="100" w:before="360" w:afterLines="50" w:after="180" w:line="240" w:lineRule="auto"/>
        <w:ind w:left="567" w:rightChars="167" w:right="401"/>
        <w:contextualSpacing w:val="0"/>
        <w:jc w:val="both"/>
        <w:rPr>
          <w:rFonts w:ascii="微軟正黑體" w:eastAsia="微軟正黑體" w:hAnsi="微軟正黑體"/>
          <w:b/>
          <w:bCs/>
        </w:rPr>
      </w:pPr>
      <w:r w:rsidRPr="00C04AA5">
        <w:rPr>
          <w:rFonts w:ascii="微軟正黑體" w:eastAsia="微軟正黑體" w:hAnsi="微軟正黑體" w:hint="eastAsia"/>
          <w:b/>
          <w:bCs/>
        </w:rPr>
        <w:t>企業提供落地的場域與行業專業經驗，學界提供解決方案的研發與領域專業知識，整合為虛擬的研發中心</w:t>
      </w:r>
      <w:r w:rsidR="000D220D" w:rsidRPr="00547F48">
        <w:rPr>
          <w:rFonts w:ascii="微軟正黑體" w:eastAsia="微軟正黑體" w:hAnsi="微軟正黑體" w:hint="eastAsia"/>
          <w:b/>
          <w:bCs/>
        </w:rPr>
        <w:t>。</w:t>
      </w:r>
    </w:p>
    <w:p w14:paraId="182067CC" w14:textId="2CC77FD0" w:rsidR="00FC0FF7" w:rsidRPr="00EC6E70" w:rsidRDefault="00FC0FF7" w:rsidP="000D220D">
      <w:pPr>
        <w:pStyle w:val="a9"/>
        <w:numPr>
          <w:ilvl w:val="0"/>
          <w:numId w:val="2"/>
        </w:numPr>
        <w:snapToGrid w:val="0"/>
        <w:spacing w:beforeLines="50" w:before="180" w:afterLines="50" w:after="180" w:line="240" w:lineRule="auto"/>
        <w:ind w:left="567" w:hanging="482"/>
        <w:contextualSpacing w:val="0"/>
        <w:rPr>
          <w:rFonts w:ascii="微軟正黑體" w:eastAsia="微軟正黑體" w:hAnsi="微軟正黑體"/>
          <w:b/>
          <w:bCs/>
          <w:sz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專案</w:t>
      </w:r>
      <w:r w:rsidRPr="00900806">
        <w:rPr>
          <w:rFonts w:ascii="微軟正黑體" w:eastAsia="微軟正黑體" w:hAnsi="微軟正黑體" w:hint="eastAsia"/>
          <w:b/>
          <w:bCs/>
          <w:sz w:val="28"/>
          <w:szCs w:val="28"/>
        </w:rPr>
        <w:t>會員</w:t>
      </w:r>
      <w:r w:rsidR="005371BF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(</w:t>
      </w:r>
      <w:r w:rsidR="00D33A4D">
        <w:rPr>
          <w:rFonts w:ascii="微軟正黑體" w:eastAsia="微軟正黑體" w:hAnsi="微軟正黑體" w:hint="eastAsia"/>
          <w:b/>
          <w:bCs/>
          <w:sz w:val="28"/>
          <w:szCs w:val="28"/>
        </w:rPr>
        <w:t>依專案內容計價)</w:t>
      </w:r>
    </w:p>
    <w:p w14:paraId="3C64CED3" w14:textId="3D8E9B74" w:rsidR="005B15BB" w:rsidRDefault="006B3419" w:rsidP="000D220D">
      <w:pPr>
        <w:pStyle w:val="a9"/>
        <w:snapToGrid w:val="0"/>
        <w:spacing w:afterLines="50" w:after="180" w:line="240" w:lineRule="auto"/>
        <w:ind w:left="567" w:rightChars="167" w:right="401"/>
        <w:contextualSpacing w:val="0"/>
        <w:jc w:val="both"/>
      </w:pPr>
      <w:r w:rsidRPr="00C04AA5">
        <w:rPr>
          <w:rFonts w:ascii="微軟正黑體" w:eastAsia="微軟正黑體" w:hAnsi="微軟正黑體" w:hint="eastAsia"/>
          <w:b/>
          <w:bCs/>
        </w:rPr>
        <w:t>建立</w:t>
      </w:r>
      <w:r w:rsidR="00FC0FF7" w:rsidRPr="00C04AA5">
        <w:rPr>
          <w:rFonts w:ascii="微軟正黑體" w:eastAsia="微軟正黑體" w:hAnsi="微軟正黑體" w:hint="eastAsia"/>
          <w:b/>
          <w:bCs/>
        </w:rPr>
        <w:t>會員</w:t>
      </w:r>
      <w:r w:rsidRPr="00C04AA5">
        <w:rPr>
          <w:rFonts w:ascii="微軟正黑體" w:eastAsia="微軟正黑體" w:hAnsi="微軟正黑體" w:hint="eastAsia"/>
          <w:b/>
          <w:bCs/>
        </w:rPr>
        <w:t>專案制度，提供一條產學合作共榮的管道。除此之外，在高速計算能力建立、大型模型的客製化與小型化</w:t>
      </w:r>
      <w:r w:rsidR="00FC0FF7">
        <w:rPr>
          <w:rFonts w:ascii="微軟正黑體" w:eastAsia="微軟正黑體" w:hAnsi="微軟正黑體" w:hint="eastAsia"/>
          <w:b/>
          <w:bCs/>
        </w:rPr>
        <w:t xml:space="preserve"> Edge L</w:t>
      </w:r>
      <w:r w:rsidR="00663197">
        <w:rPr>
          <w:rFonts w:ascii="微軟正黑體" w:eastAsia="微軟正黑體" w:hAnsi="微軟正黑體" w:hint="eastAsia"/>
          <w:b/>
          <w:bCs/>
        </w:rPr>
        <w:t>a</w:t>
      </w:r>
      <w:r w:rsidR="00FC0FF7">
        <w:rPr>
          <w:rFonts w:ascii="微軟正黑體" w:eastAsia="微軟正黑體" w:hAnsi="微軟正黑體" w:hint="eastAsia"/>
          <w:b/>
          <w:bCs/>
        </w:rPr>
        <w:t>nding</w:t>
      </w:r>
      <w:r w:rsidRPr="00C04AA5">
        <w:rPr>
          <w:rFonts w:ascii="微軟正黑體" w:eastAsia="微軟正黑體" w:hAnsi="微軟正黑體" w:hint="eastAsia"/>
          <w:b/>
          <w:bCs/>
        </w:rPr>
        <w:t>以及其他整合新型AI模型的產業應用都是聯盟可以專案服務的重點。</w:t>
      </w:r>
    </w:p>
    <w:p w14:paraId="1A0E8F15" w14:textId="77777777" w:rsidR="005B15BB" w:rsidRPr="005B15BB" w:rsidRDefault="005B15BB"/>
    <w:sectPr w:rsidR="005B15BB" w:rsidRPr="005B15BB" w:rsidSect="002A3B16">
      <w:footerReference w:type="default" r:id="rId9"/>
      <w:pgSz w:w="11906" w:h="16838"/>
      <w:pgMar w:top="720" w:right="720" w:bottom="720" w:left="720" w:header="851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1902A" w14:textId="77777777" w:rsidR="002A3B16" w:rsidRDefault="002A3B16" w:rsidP="009F4522">
      <w:pPr>
        <w:spacing w:after="0" w:line="240" w:lineRule="auto"/>
      </w:pPr>
      <w:r>
        <w:separator/>
      </w:r>
    </w:p>
  </w:endnote>
  <w:endnote w:type="continuationSeparator" w:id="0">
    <w:p w14:paraId="748566A5" w14:textId="77777777" w:rsidR="002A3B16" w:rsidRDefault="002A3B16" w:rsidP="009F4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6151" w14:textId="1E456540" w:rsidR="009F4522" w:rsidRDefault="0055333D" w:rsidP="008C19A9">
    <w:pPr>
      <w:pStyle w:val="af0"/>
      <w:spacing w:after="0" w:line="240" w:lineRule="auto"/>
      <w:jc w:val="distribute"/>
    </w:pPr>
    <w:r>
      <w:rPr>
        <w:rFonts w:ascii="Microsoft YaHei" w:hAnsi="Microsoft YaHei" w:hint="eastAsia"/>
        <w:b/>
        <w:bCs/>
        <w:sz w:val="24"/>
        <w:szCs w:val="24"/>
      </w:rPr>
      <w:t xml:space="preserve"> </w:t>
    </w:r>
    <w:r w:rsidR="00677077" w:rsidRPr="0055333D">
      <w:rPr>
        <w:rFonts w:ascii="Microsoft YaHei" w:eastAsia="Microsoft YaHei" w:hAnsi="Microsoft YaHei"/>
        <w:b/>
        <w:bCs/>
        <w:sz w:val="24"/>
        <w:szCs w:val="24"/>
      </w:rPr>
      <w:fldChar w:fldCharType="begin"/>
    </w:r>
    <w:r w:rsidR="00677077" w:rsidRPr="0055333D">
      <w:rPr>
        <w:rFonts w:ascii="Microsoft YaHei" w:eastAsia="Microsoft YaHei" w:hAnsi="Microsoft YaHei"/>
        <w:b/>
        <w:bCs/>
        <w:sz w:val="24"/>
        <w:szCs w:val="24"/>
      </w:rPr>
      <w:instrText>PAGE   \* MERGEFORMAT</w:instrText>
    </w:r>
    <w:r w:rsidR="00677077" w:rsidRPr="0055333D">
      <w:rPr>
        <w:rFonts w:ascii="Microsoft YaHei" w:eastAsia="Microsoft YaHei" w:hAnsi="Microsoft YaHei"/>
        <w:b/>
        <w:bCs/>
        <w:sz w:val="24"/>
        <w:szCs w:val="24"/>
      </w:rPr>
      <w:fldChar w:fldCharType="separate"/>
    </w:r>
    <w:r w:rsidR="00677077" w:rsidRPr="0055333D">
      <w:rPr>
        <w:rFonts w:ascii="Microsoft YaHei" w:eastAsia="Microsoft YaHei" w:hAnsi="Microsoft YaHei"/>
        <w:b/>
        <w:bCs/>
        <w:sz w:val="24"/>
        <w:szCs w:val="24"/>
        <w:lang w:val="zh-TW"/>
      </w:rPr>
      <w:t>1</w:t>
    </w:r>
    <w:r w:rsidR="00677077" w:rsidRPr="0055333D">
      <w:rPr>
        <w:rFonts w:ascii="Microsoft YaHei" w:eastAsia="Microsoft YaHei" w:hAnsi="Microsoft YaHei"/>
        <w:b/>
        <w:bCs/>
        <w:sz w:val="24"/>
        <w:szCs w:val="24"/>
      </w:rPr>
      <w:fldChar w:fldCharType="end"/>
    </w:r>
    <w:r w:rsidR="00B07781">
      <w:rPr>
        <w:rFonts w:hint="eastAsia"/>
      </w:rPr>
      <w:t xml:space="preserve">  </w:t>
    </w:r>
    <w:r>
      <w:rPr>
        <w:rFonts w:hint="eastAsia"/>
      </w:rPr>
      <w:t xml:space="preserve"> </w:t>
    </w:r>
    <w:r w:rsidR="00B07781">
      <w:rPr>
        <w:rFonts w:hint="eastAsia"/>
      </w:rPr>
      <w:t xml:space="preserve">         </w:t>
    </w:r>
    <w:r>
      <w:rPr>
        <w:noProof/>
      </w:rPr>
      <w:drawing>
        <wp:inline distT="0" distB="0" distL="0" distR="0" wp14:anchorId="42A1E799" wp14:editId="2C0B23E9">
          <wp:extent cx="2390775" cy="279601"/>
          <wp:effectExtent l="0" t="0" r="0" b="6350"/>
          <wp:docPr id="560312249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031224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00088" cy="292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3BB42" w14:textId="77777777" w:rsidR="002A3B16" w:rsidRDefault="002A3B16" w:rsidP="009F4522">
      <w:pPr>
        <w:spacing w:after="0" w:line="240" w:lineRule="auto"/>
      </w:pPr>
      <w:r>
        <w:separator/>
      </w:r>
    </w:p>
  </w:footnote>
  <w:footnote w:type="continuationSeparator" w:id="0">
    <w:p w14:paraId="421C6AAA" w14:textId="77777777" w:rsidR="002A3B16" w:rsidRDefault="002A3B16" w:rsidP="009F4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10B6"/>
    <w:multiLevelType w:val="hybridMultilevel"/>
    <w:tmpl w:val="6DE41E80"/>
    <w:lvl w:ilvl="0" w:tplc="877068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4206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203E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EDD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B877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7EC0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297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54BF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AC12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2288F"/>
    <w:multiLevelType w:val="hybridMultilevel"/>
    <w:tmpl w:val="47783F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5AF39F4"/>
    <w:multiLevelType w:val="hybridMultilevel"/>
    <w:tmpl w:val="ECECDFD2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3" w15:restartNumberingAfterBreak="0">
    <w:nsid w:val="678A60C6"/>
    <w:multiLevelType w:val="hybridMultilevel"/>
    <w:tmpl w:val="75B635C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BE5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A6C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ED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81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20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221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BAC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981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7259B4"/>
    <w:multiLevelType w:val="hybridMultilevel"/>
    <w:tmpl w:val="ECECDFD2"/>
    <w:lvl w:ilvl="0" w:tplc="FFFFFFFF">
      <w:start w:val="1"/>
      <w:numFmt w:val="decimal"/>
      <w:lvlText w:val="%1."/>
      <w:lvlJc w:val="left"/>
      <w:pPr>
        <w:ind w:left="1046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526" w:hanging="480"/>
      </w:pPr>
    </w:lvl>
    <w:lvl w:ilvl="2" w:tplc="FFFFFFFF" w:tentative="1">
      <w:start w:val="1"/>
      <w:numFmt w:val="lowerRoman"/>
      <w:lvlText w:val="%3."/>
      <w:lvlJc w:val="right"/>
      <w:pPr>
        <w:ind w:left="2006" w:hanging="480"/>
      </w:pPr>
    </w:lvl>
    <w:lvl w:ilvl="3" w:tplc="FFFFFFFF" w:tentative="1">
      <w:start w:val="1"/>
      <w:numFmt w:val="decimal"/>
      <w:lvlText w:val="%4."/>
      <w:lvlJc w:val="left"/>
      <w:pPr>
        <w:ind w:left="248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966" w:hanging="480"/>
      </w:pPr>
    </w:lvl>
    <w:lvl w:ilvl="5" w:tplc="FFFFFFFF" w:tentative="1">
      <w:start w:val="1"/>
      <w:numFmt w:val="lowerRoman"/>
      <w:lvlText w:val="%6."/>
      <w:lvlJc w:val="right"/>
      <w:pPr>
        <w:ind w:left="3446" w:hanging="480"/>
      </w:pPr>
    </w:lvl>
    <w:lvl w:ilvl="6" w:tplc="FFFFFFFF" w:tentative="1">
      <w:start w:val="1"/>
      <w:numFmt w:val="decimal"/>
      <w:lvlText w:val="%7."/>
      <w:lvlJc w:val="left"/>
      <w:pPr>
        <w:ind w:left="392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406" w:hanging="480"/>
      </w:pPr>
    </w:lvl>
    <w:lvl w:ilvl="8" w:tplc="FFFFFFFF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5" w15:restartNumberingAfterBreak="0">
    <w:nsid w:val="7E972A4A"/>
    <w:multiLevelType w:val="hybridMultilevel"/>
    <w:tmpl w:val="ECECDFD2"/>
    <w:lvl w:ilvl="0" w:tplc="FFFFFFFF">
      <w:start w:val="1"/>
      <w:numFmt w:val="decimal"/>
      <w:lvlText w:val="%1."/>
      <w:lvlJc w:val="left"/>
      <w:pPr>
        <w:ind w:left="1046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526" w:hanging="480"/>
      </w:pPr>
    </w:lvl>
    <w:lvl w:ilvl="2" w:tplc="FFFFFFFF" w:tentative="1">
      <w:start w:val="1"/>
      <w:numFmt w:val="lowerRoman"/>
      <w:lvlText w:val="%3."/>
      <w:lvlJc w:val="right"/>
      <w:pPr>
        <w:ind w:left="2006" w:hanging="480"/>
      </w:pPr>
    </w:lvl>
    <w:lvl w:ilvl="3" w:tplc="FFFFFFFF" w:tentative="1">
      <w:start w:val="1"/>
      <w:numFmt w:val="decimal"/>
      <w:lvlText w:val="%4."/>
      <w:lvlJc w:val="left"/>
      <w:pPr>
        <w:ind w:left="248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966" w:hanging="480"/>
      </w:pPr>
    </w:lvl>
    <w:lvl w:ilvl="5" w:tplc="FFFFFFFF" w:tentative="1">
      <w:start w:val="1"/>
      <w:numFmt w:val="lowerRoman"/>
      <w:lvlText w:val="%6."/>
      <w:lvlJc w:val="right"/>
      <w:pPr>
        <w:ind w:left="3446" w:hanging="480"/>
      </w:pPr>
    </w:lvl>
    <w:lvl w:ilvl="6" w:tplc="FFFFFFFF" w:tentative="1">
      <w:start w:val="1"/>
      <w:numFmt w:val="decimal"/>
      <w:lvlText w:val="%7."/>
      <w:lvlJc w:val="left"/>
      <w:pPr>
        <w:ind w:left="392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406" w:hanging="480"/>
      </w:pPr>
    </w:lvl>
    <w:lvl w:ilvl="8" w:tplc="FFFFFFFF" w:tentative="1">
      <w:start w:val="1"/>
      <w:numFmt w:val="lowerRoman"/>
      <w:lvlText w:val="%9."/>
      <w:lvlJc w:val="right"/>
      <w:pPr>
        <w:ind w:left="4886" w:hanging="480"/>
      </w:pPr>
    </w:lvl>
  </w:abstractNum>
  <w:num w:numId="1" w16cid:durableId="773942925">
    <w:abstractNumId w:val="0"/>
  </w:num>
  <w:num w:numId="2" w16cid:durableId="1023241604">
    <w:abstractNumId w:val="1"/>
  </w:num>
  <w:num w:numId="3" w16cid:durableId="1702512155">
    <w:abstractNumId w:val="3"/>
  </w:num>
  <w:num w:numId="4" w16cid:durableId="773670690">
    <w:abstractNumId w:val="2"/>
  </w:num>
  <w:num w:numId="5" w16cid:durableId="479538237">
    <w:abstractNumId w:val="5"/>
  </w:num>
  <w:num w:numId="6" w16cid:durableId="115150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18"/>
    <w:rsid w:val="00075088"/>
    <w:rsid w:val="000D220D"/>
    <w:rsid w:val="0014241B"/>
    <w:rsid w:val="001A6368"/>
    <w:rsid w:val="001B0D60"/>
    <w:rsid w:val="001F3799"/>
    <w:rsid w:val="00235BF0"/>
    <w:rsid w:val="002A3B16"/>
    <w:rsid w:val="00310AEE"/>
    <w:rsid w:val="003266DC"/>
    <w:rsid w:val="00340B03"/>
    <w:rsid w:val="00406523"/>
    <w:rsid w:val="00490957"/>
    <w:rsid w:val="004A3C7D"/>
    <w:rsid w:val="005000DE"/>
    <w:rsid w:val="005371BF"/>
    <w:rsid w:val="00547F48"/>
    <w:rsid w:val="0055333D"/>
    <w:rsid w:val="005B15BB"/>
    <w:rsid w:val="00663197"/>
    <w:rsid w:val="00677077"/>
    <w:rsid w:val="006B3419"/>
    <w:rsid w:val="00703AD6"/>
    <w:rsid w:val="00772F01"/>
    <w:rsid w:val="007A0A1C"/>
    <w:rsid w:val="007A29D7"/>
    <w:rsid w:val="007A2D49"/>
    <w:rsid w:val="007F5D51"/>
    <w:rsid w:val="00831FA0"/>
    <w:rsid w:val="008C19A9"/>
    <w:rsid w:val="00900806"/>
    <w:rsid w:val="009F4522"/>
    <w:rsid w:val="00A35896"/>
    <w:rsid w:val="00A71211"/>
    <w:rsid w:val="00A87E18"/>
    <w:rsid w:val="00AE61ED"/>
    <w:rsid w:val="00B07781"/>
    <w:rsid w:val="00B16CC9"/>
    <w:rsid w:val="00B93AE7"/>
    <w:rsid w:val="00BB7F1C"/>
    <w:rsid w:val="00BC4BD2"/>
    <w:rsid w:val="00BE38C9"/>
    <w:rsid w:val="00C5028D"/>
    <w:rsid w:val="00C95713"/>
    <w:rsid w:val="00D06BFE"/>
    <w:rsid w:val="00D30318"/>
    <w:rsid w:val="00D33A4D"/>
    <w:rsid w:val="00D705C3"/>
    <w:rsid w:val="00D9220A"/>
    <w:rsid w:val="00EC1FF6"/>
    <w:rsid w:val="00EC6E70"/>
    <w:rsid w:val="00F8371C"/>
    <w:rsid w:val="00FC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792A0"/>
  <w15:chartTrackingRefBased/>
  <w15:docId w15:val="{A4208813-CCEB-4DE0-8717-214A90F7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7E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7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E1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E1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7E1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7E1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7E1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7E1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87E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87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87E1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87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87E1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87E1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87E1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87E1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87E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7E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87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7E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87E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7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87E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7E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7E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7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87E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7E1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F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F452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F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F45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玉書 胡</dc:creator>
  <cp:keywords/>
  <dc:description/>
  <cp:lastModifiedBy>玉書 胡</cp:lastModifiedBy>
  <cp:revision>52</cp:revision>
  <dcterms:created xsi:type="dcterms:W3CDTF">2024-03-17T23:38:00Z</dcterms:created>
  <dcterms:modified xsi:type="dcterms:W3CDTF">2024-03-18T00:29:00Z</dcterms:modified>
</cp:coreProperties>
</file>