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jc w:val="center"/>
        <w:rPr>
          <w:rFonts w:hint="eastAsia"/>
        </w:rPr>
      </w:pPr>
      <w:r>
        <w:rPr>
          <w:rFonts w:hint="eastAsia"/>
          <w:lang w:val="en-US" w:eastAsia="zh-CN"/>
        </w:rPr>
        <w:t>软件</w:t>
      </w:r>
      <w:r>
        <w:rPr>
          <w:rFonts w:hint="eastAsia"/>
        </w:rPr>
        <w:t>研发项目分包管理办法</w:t>
      </w:r>
    </w:p>
    <w:p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（20</w:t>
      </w:r>
      <w:r>
        <w:rPr>
          <w:rFonts w:hint="eastAsia"/>
          <w:b/>
          <w:bCs/>
          <w:sz w:val="28"/>
          <w:szCs w:val="28"/>
          <w:lang w:val="en-US" w:eastAsia="zh-CN"/>
        </w:rPr>
        <w:t>20</w:t>
      </w:r>
      <w:r>
        <w:rPr>
          <w:rFonts w:hint="eastAsia"/>
          <w:b/>
          <w:bCs/>
          <w:sz w:val="28"/>
          <w:szCs w:val="28"/>
        </w:rPr>
        <w:t>年</w:t>
      </w:r>
      <w:r>
        <w:rPr>
          <w:rFonts w:hint="eastAsia"/>
          <w:b/>
          <w:bCs/>
          <w:sz w:val="28"/>
          <w:szCs w:val="28"/>
          <w:lang w:val="en-US" w:eastAsia="zh-CN"/>
        </w:rPr>
        <w:t>版</w:t>
      </w:r>
      <w:r>
        <w:rPr>
          <w:rFonts w:hint="eastAsia"/>
          <w:b/>
          <w:bCs/>
          <w:sz w:val="28"/>
          <w:szCs w:val="28"/>
        </w:rPr>
        <w:t>）</w:t>
      </w:r>
    </w:p>
    <w:p>
      <w:pPr>
        <w:rPr>
          <w:sz w:val="28"/>
          <w:szCs w:val="28"/>
        </w:rPr>
      </w:pPr>
    </w:p>
    <w:p>
      <w:pPr>
        <w:ind w:firstLine="700" w:firstLineChars="250"/>
        <w:rPr>
          <w:sz w:val="28"/>
          <w:szCs w:val="28"/>
        </w:rPr>
      </w:pPr>
      <w:r>
        <w:rPr>
          <w:rFonts w:hint="eastAsia"/>
          <w:sz w:val="28"/>
          <w:szCs w:val="28"/>
        </w:rPr>
        <w:t>为</w:t>
      </w:r>
      <w:r>
        <w:rPr>
          <w:rFonts w:hint="eastAsia"/>
          <w:sz w:val="28"/>
          <w:szCs w:val="28"/>
          <w:lang w:val="en-US" w:eastAsia="zh-CN"/>
        </w:rPr>
        <w:t>保证公司软件研发项目承包方按项目技术、进度、质量要求完成项目研发及交付，规范化管理，保证研发效果，</w:t>
      </w:r>
      <w:r>
        <w:rPr>
          <w:rFonts w:hint="eastAsia"/>
          <w:sz w:val="28"/>
          <w:szCs w:val="28"/>
        </w:rPr>
        <w:t>特制订</w:t>
      </w:r>
      <w:r>
        <w:rPr>
          <w:rFonts w:hint="eastAsia"/>
          <w:sz w:val="28"/>
          <w:szCs w:val="28"/>
          <w:lang w:val="en-US" w:eastAsia="zh-CN"/>
        </w:rPr>
        <w:t>软</w:t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件研发项目分包管理办法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便于对项目研发过程进行管理及结果考核。</w:t>
      </w:r>
    </w:p>
    <w:p>
      <w:pPr>
        <w:pStyle w:val="10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09" w:hanging="567" w:firstLineChars="0"/>
        <w:textAlignment w:val="auto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项目管理流程</w:t>
      </w:r>
    </w:p>
    <w:p>
      <w:pPr>
        <w:ind w:left="142" w:firstLine="419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为规范项目管理过程，提升协作效率，软件研发项目承包方（简称“承包方”）需要基于敏捷云进行项目管理，至少遵循以下管理要求：</w:t>
      </w:r>
    </w:p>
    <w:p>
      <w:pPr>
        <w:numPr>
          <w:ilvl w:val="0"/>
          <w:numId w:val="2"/>
        </w:numPr>
        <w:ind w:left="142" w:firstLine="419" w:firstLine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需求管理</w:t>
      </w:r>
    </w:p>
    <w:p>
      <w:pPr>
        <w:numPr>
          <w:ilvl w:val="0"/>
          <w:numId w:val="0"/>
        </w:numPr>
        <w:ind w:left="561" w:leftChars="0" w:firstLine="419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协助整理需求书，录入敏捷云进行需求管理，制定里程碑计划。需求书经公司技术委员会评审后作为验收依据。</w:t>
      </w:r>
    </w:p>
    <w:p>
      <w:pPr>
        <w:numPr>
          <w:ilvl w:val="0"/>
          <w:numId w:val="2"/>
        </w:numPr>
        <w:ind w:left="142" w:firstLine="419" w:firstLineChars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任务管理</w:t>
      </w:r>
    </w:p>
    <w:p>
      <w:pPr>
        <w:numPr>
          <w:ilvl w:val="0"/>
          <w:numId w:val="0"/>
        </w:numPr>
        <w:ind w:left="561" w:leftChars="0" w:firstLine="419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需对需求进行任务分解（WBS），有明确的任务截止时间，及时更新进度。每周提交进度周报。</w:t>
      </w:r>
    </w:p>
    <w:p>
      <w:pPr>
        <w:numPr>
          <w:ilvl w:val="0"/>
          <w:numId w:val="2"/>
        </w:numPr>
        <w:ind w:left="142" w:firstLine="419" w:firstLineChars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缺陷管理</w:t>
      </w:r>
    </w:p>
    <w:p>
      <w:pPr>
        <w:numPr>
          <w:ilvl w:val="0"/>
          <w:numId w:val="0"/>
        </w:numPr>
        <w:ind w:left="561" w:leftChars="0" w:firstLine="419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问题发现及修复需要基于敏捷云缺陷管理功能进行管理。</w:t>
      </w:r>
    </w:p>
    <w:p>
      <w:pPr>
        <w:numPr>
          <w:ilvl w:val="0"/>
          <w:numId w:val="2"/>
        </w:numPr>
        <w:ind w:left="142" w:firstLine="419" w:firstLineChars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代码管理</w:t>
      </w:r>
    </w:p>
    <w:p>
      <w:pPr>
        <w:numPr>
          <w:ilvl w:val="0"/>
          <w:numId w:val="0"/>
        </w:numPr>
        <w:ind w:left="561" w:leftChars="0" w:firstLine="419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项目代码需要在敏捷云上进行托管，且在研发过程向发包方开通账号进行查阅。关键节点需要进行打Tag，并做好版本更新说明。验收后需要向分包方开通owner权限，以便进行交接管理。</w:t>
      </w:r>
    </w:p>
    <w:p>
      <w:pPr>
        <w:numPr>
          <w:ilvl w:val="0"/>
          <w:numId w:val="2"/>
        </w:numPr>
        <w:ind w:left="142" w:firstLine="419" w:firstLineChars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测试管理</w:t>
      </w:r>
    </w:p>
    <w:p>
      <w:pPr>
        <w:numPr>
          <w:ilvl w:val="0"/>
          <w:numId w:val="0"/>
        </w:numPr>
        <w:ind w:left="561" w:leftChars="0" w:firstLine="419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在敏捷云上按照需求书功能点编写测试用例，研发过程内部测试及验收测试过程及结果均在敏捷云上记录。</w:t>
      </w:r>
    </w:p>
    <w:p>
      <w:pPr>
        <w:numPr>
          <w:ilvl w:val="0"/>
          <w:numId w:val="2"/>
        </w:numPr>
        <w:ind w:left="142" w:firstLine="419" w:firstLineChars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文档管理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研发过程相关文档（包括但不限于需求书、选型文档、设计文档、开发文档、操作手册、维护文档、周报等）</w:t>
      </w:r>
    </w:p>
    <w:p>
      <w:pPr>
        <w:pStyle w:val="10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09" w:hanging="567" w:firstLineChars="0"/>
        <w:textAlignment w:val="auto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交付物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项目交付需提供以下文档：</w:t>
      </w:r>
    </w:p>
    <w:p>
      <w:pPr>
        <w:widowControl w:val="0"/>
        <w:numPr>
          <w:ilvl w:val="0"/>
          <w:numId w:val="3"/>
        </w:numPr>
        <w:ind w:firstLine="42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需求规格说明书/技术规范书（可合一）</w:t>
      </w:r>
    </w:p>
    <w:p>
      <w:pPr>
        <w:widowControl w:val="0"/>
        <w:numPr>
          <w:ilvl w:val="0"/>
          <w:numId w:val="3"/>
        </w:numPr>
        <w:ind w:firstLine="42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选型文档</w:t>
      </w:r>
    </w:p>
    <w:p>
      <w:pPr>
        <w:widowControl w:val="0"/>
        <w:numPr>
          <w:ilvl w:val="0"/>
          <w:numId w:val="3"/>
        </w:numPr>
        <w:ind w:firstLine="42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设计文档</w:t>
      </w:r>
    </w:p>
    <w:p>
      <w:pPr>
        <w:widowControl w:val="0"/>
        <w:numPr>
          <w:ilvl w:val="0"/>
          <w:numId w:val="3"/>
        </w:numPr>
        <w:ind w:firstLine="42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测试报告（可在敏捷云测试管理模块体现）</w:t>
      </w:r>
    </w:p>
    <w:p>
      <w:pPr>
        <w:widowControl w:val="0"/>
        <w:numPr>
          <w:ilvl w:val="0"/>
          <w:numId w:val="3"/>
        </w:numPr>
        <w:ind w:firstLine="42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操作手册</w:t>
      </w:r>
    </w:p>
    <w:p>
      <w:pPr>
        <w:widowControl w:val="0"/>
        <w:numPr>
          <w:ilvl w:val="0"/>
          <w:numId w:val="3"/>
        </w:numPr>
        <w:ind w:firstLine="42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安装部署及维护手册</w:t>
      </w:r>
    </w:p>
    <w:p>
      <w:pPr>
        <w:widowControl w:val="0"/>
        <w:numPr>
          <w:ilvl w:val="0"/>
          <w:numId w:val="3"/>
        </w:numPr>
        <w:ind w:firstLine="42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接口文档（采用Swagger生成）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</w:p>
    <w:p>
      <w:pPr>
        <w:pStyle w:val="10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09" w:hanging="567" w:firstLineChars="0"/>
        <w:textAlignment w:val="auto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验收及付款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验收分初验和终验2个阶段：</w:t>
      </w:r>
    </w:p>
    <w:p>
      <w:pPr>
        <w:widowControl w:val="0"/>
        <w:numPr>
          <w:ilvl w:val="0"/>
          <w:numId w:val="4"/>
        </w:numPr>
        <w:ind w:firstLine="42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初验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完成项目研发，通过验收测试，可申请初验。初验由发包方组织相关专家进行评审，初验通过则向承包方结转不高于项目总金额80%，验收考核依据“考核办法”章节。初验不通过则按照验收意见进行整改，整改合格后再申请初验。</w:t>
      </w:r>
    </w:p>
    <w:p>
      <w:pPr>
        <w:widowControl w:val="0"/>
        <w:numPr>
          <w:ilvl w:val="0"/>
          <w:numId w:val="4"/>
        </w:numPr>
        <w:ind w:firstLine="42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终验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研发项目通过初验并在一个生产项目上成功验证后，可申请终验。终验通过，向承包方结转项目总金额15%。</w:t>
      </w:r>
    </w:p>
    <w:p>
      <w:pPr>
        <w:widowControl w:val="0"/>
        <w:numPr>
          <w:ilvl w:val="0"/>
          <w:numId w:val="4"/>
        </w:numPr>
        <w:ind w:firstLine="42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免维期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自终验通过后1年内，承包方须提供免费维护服务，包括配合缺陷修复、漏洞整改等。免维期到期后，向承包方结转项目总金额5%。</w:t>
      </w:r>
    </w:p>
    <w:p>
      <w:pPr>
        <w:pStyle w:val="10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09" w:hanging="567" w:firstLineChars="0"/>
        <w:textAlignment w:val="auto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考核办法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参考公司服务分包管理办法，研发项目的考核根据以下指标进行评分。</w:t>
      </w:r>
    </w:p>
    <w:tbl>
      <w:tblPr>
        <w:tblStyle w:val="8"/>
        <w:tblW w:w="10376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5"/>
        <w:gridCol w:w="1564"/>
        <w:gridCol w:w="1591"/>
        <w:gridCol w:w="731"/>
        <w:gridCol w:w="906"/>
        <w:gridCol w:w="423"/>
        <w:gridCol w:w="745"/>
        <w:gridCol w:w="1365"/>
        <w:gridCol w:w="16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1355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18"/>
                <w:szCs w:val="18"/>
                <w:lang w:eastAsia="zh-CN"/>
              </w:rPr>
              <w:t>评估项目</w:t>
            </w:r>
          </w:p>
        </w:tc>
        <w:tc>
          <w:tcPr>
            <w:tcW w:w="3155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18"/>
                <w:szCs w:val="18"/>
                <w:lang w:eastAsia="zh-CN"/>
              </w:rPr>
              <w:t>评估内容</w:t>
            </w:r>
          </w:p>
        </w:tc>
        <w:tc>
          <w:tcPr>
            <w:tcW w:w="731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18"/>
                <w:szCs w:val="18"/>
                <w:lang w:eastAsia="zh-CN"/>
              </w:rPr>
              <w:t>分值</w:t>
            </w:r>
          </w:p>
        </w:tc>
        <w:tc>
          <w:tcPr>
            <w:tcW w:w="1329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18"/>
                <w:szCs w:val="18"/>
                <w:lang w:eastAsia="zh-CN"/>
              </w:rPr>
              <w:t>评分标准</w:t>
            </w:r>
          </w:p>
        </w:tc>
        <w:tc>
          <w:tcPr>
            <w:tcW w:w="745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18"/>
                <w:szCs w:val="18"/>
                <w:lang w:eastAsia="zh-CN"/>
              </w:rPr>
              <w:t>评分</w:t>
            </w:r>
          </w:p>
        </w:tc>
        <w:tc>
          <w:tcPr>
            <w:tcW w:w="3061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18"/>
                <w:szCs w:val="18"/>
                <w:lang w:eastAsia="zh-CN"/>
              </w:rPr>
              <w:t>说明</w:t>
            </w:r>
          </w:p>
          <w:p>
            <w:pPr>
              <w:rPr>
                <w:rFonts w:hint="eastAsia" w:ascii="宋体" w:hAnsi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eastAsia="zh-CN"/>
              </w:rPr>
              <w:t>（评分有加或减分的请说明原因）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2" w:hRule="atLeast"/>
          <w:jc w:val="center"/>
        </w:trPr>
        <w:tc>
          <w:tcPr>
            <w:tcW w:w="1355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18"/>
                <w:szCs w:val="18"/>
                <w:lang w:eastAsia="zh-CN"/>
              </w:rPr>
              <w:t>完成时限</w:t>
            </w:r>
          </w:p>
          <w:p>
            <w:pPr>
              <w:jc w:val="center"/>
              <w:rPr>
                <w:rFonts w:hint="eastAsia" w:ascii="宋体" w:hAnsi="宋体"/>
                <w:b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18"/>
                <w:szCs w:val="18"/>
                <w:lang w:eastAsia="zh-CN"/>
              </w:rPr>
              <w:t>（10分）</w:t>
            </w:r>
          </w:p>
        </w:tc>
        <w:tc>
          <w:tcPr>
            <w:tcW w:w="3155" w:type="dxa"/>
            <w:gridSpan w:val="2"/>
            <w:noWrap w:val="0"/>
            <w:vAlign w:val="center"/>
          </w:tcPr>
          <w:p>
            <w:pPr>
              <w:rPr>
                <w:rFonts w:hint="eastAsia" w:ascii="宋体" w:hAnsi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eastAsia="zh-CN"/>
              </w:rPr>
              <w:t>进度控制合理，满足项目进度要求，进度上报及时</w:t>
            </w:r>
          </w:p>
        </w:tc>
        <w:tc>
          <w:tcPr>
            <w:tcW w:w="731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  <w:lang w:eastAsia="zh-CN"/>
              </w:rPr>
              <w:t>10</w:t>
            </w:r>
          </w:p>
        </w:tc>
        <w:tc>
          <w:tcPr>
            <w:tcW w:w="1329" w:type="dxa"/>
            <w:gridSpan w:val="2"/>
            <w:vMerge w:val="restart"/>
            <w:noWrap w:val="0"/>
            <w:vAlign w:val="center"/>
          </w:tcPr>
          <w:p>
            <w:pPr>
              <w:rPr>
                <w:rFonts w:hint="eastAsia" w:ascii="宋体" w:hAnsi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完全符合</w:t>
            </w:r>
            <w:r>
              <w:rPr>
                <w:rFonts w:ascii="宋体" w:hAnsi="宋体"/>
                <w:sz w:val="18"/>
                <w:szCs w:val="18"/>
                <w:lang w:eastAsia="zh-CN"/>
              </w:rPr>
              <w:t>-</w:t>
            </w: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该项满分；</w:t>
            </w:r>
          </w:p>
          <w:p>
            <w:pPr>
              <w:rPr>
                <w:rFonts w:hint="eastAsia" w:ascii="宋体" w:hAnsi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较符合</w:t>
            </w:r>
            <w:r>
              <w:rPr>
                <w:rFonts w:ascii="宋体" w:hAnsi="宋体"/>
                <w:sz w:val="18"/>
                <w:szCs w:val="18"/>
                <w:lang w:eastAsia="zh-CN"/>
              </w:rPr>
              <w:t>-</w:t>
            </w: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该项分数</w:t>
            </w:r>
            <w:r>
              <w:rPr>
                <w:rFonts w:ascii="宋体" w:hAnsi="宋体"/>
                <w:sz w:val="18"/>
                <w:szCs w:val="18"/>
                <w:lang w:eastAsia="zh-CN"/>
              </w:rPr>
              <w:t>*0.8</w:t>
            </w: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；</w:t>
            </w:r>
          </w:p>
          <w:p>
            <w:pPr>
              <w:rPr>
                <w:rFonts w:hint="eastAsia" w:ascii="宋体" w:hAnsi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基本符合</w:t>
            </w:r>
            <w:r>
              <w:rPr>
                <w:rFonts w:ascii="宋体" w:hAnsi="宋体"/>
                <w:sz w:val="18"/>
                <w:szCs w:val="18"/>
                <w:lang w:eastAsia="zh-CN"/>
              </w:rPr>
              <w:t>-</w:t>
            </w: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该项分数</w:t>
            </w:r>
            <w:r>
              <w:rPr>
                <w:rFonts w:ascii="宋体" w:hAnsi="宋体"/>
                <w:sz w:val="18"/>
                <w:szCs w:val="18"/>
                <w:lang w:eastAsia="zh-CN"/>
              </w:rPr>
              <w:t>*0.6</w:t>
            </w: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；</w:t>
            </w:r>
          </w:p>
          <w:p>
            <w:pPr>
              <w:rPr>
                <w:rFonts w:hint="eastAsia" w:ascii="宋体" w:hAnsi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不符合</w:t>
            </w:r>
            <w:r>
              <w:rPr>
                <w:rFonts w:ascii="宋体" w:hAnsi="宋体"/>
                <w:sz w:val="18"/>
                <w:szCs w:val="18"/>
                <w:lang w:eastAsia="zh-CN"/>
              </w:rPr>
              <w:t>-0</w:t>
            </w: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分。</w:t>
            </w:r>
          </w:p>
          <w:p>
            <w:pPr>
              <w:rPr>
                <w:rFonts w:hint="eastAsia" w:ascii="宋体" w:hAnsi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（得分低于“该项分值</w:t>
            </w:r>
            <w:r>
              <w:rPr>
                <w:rFonts w:ascii="宋体" w:hAnsi="宋体"/>
                <w:sz w:val="18"/>
                <w:szCs w:val="18"/>
                <w:lang w:eastAsia="zh-CN"/>
              </w:rPr>
              <w:t>*0.8</w:t>
            </w: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”时需对具体情况进行说明）</w:t>
            </w:r>
          </w:p>
        </w:tc>
        <w:tc>
          <w:tcPr>
            <w:tcW w:w="745" w:type="dxa"/>
            <w:noWrap w:val="0"/>
            <w:vAlign w:val="center"/>
          </w:tcPr>
          <w:p>
            <w:pPr>
              <w:rPr>
                <w:rFonts w:hint="eastAsia" w:ascii="宋体" w:hAnsi="宋体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3061" w:type="dxa"/>
            <w:gridSpan w:val="2"/>
            <w:noWrap w:val="0"/>
            <w:vAlign w:val="center"/>
          </w:tcPr>
          <w:p>
            <w:pPr>
              <w:rPr>
                <w:rFonts w:hint="eastAsia" w:ascii="宋体" w:hAnsi="宋体"/>
                <w:color w:val="000000"/>
                <w:sz w:val="18"/>
                <w:szCs w:val="18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1355" w:type="dxa"/>
            <w:vMerge w:val="restart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18"/>
                <w:szCs w:val="18"/>
                <w:lang w:eastAsia="zh-CN"/>
              </w:rPr>
              <w:t>服务</w:t>
            </w:r>
          </w:p>
          <w:p>
            <w:pPr>
              <w:jc w:val="center"/>
              <w:rPr>
                <w:rFonts w:hint="eastAsia" w:ascii="宋体" w:hAnsi="宋体"/>
                <w:b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18"/>
                <w:szCs w:val="18"/>
              </w:rPr>
              <w:t>质量</w:t>
            </w:r>
          </w:p>
          <w:p>
            <w:pPr>
              <w:jc w:val="center"/>
              <w:rPr>
                <w:rFonts w:hint="eastAsia" w:ascii="宋体" w:hAnsi="宋体"/>
                <w:b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color w:val="000000"/>
                <w:sz w:val="18"/>
                <w:szCs w:val="18"/>
              </w:rPr>
              <w:t>（</w:t>
            </w:r>
            <w:r>
              <w:rPr>
                <w:rFonts w:hint="eastAsia" w:ascii="宋体" w:hAnsi="宋体"/>
                <w:b/>
                <w:color w:val="000000"/>
                <w:sz w:val="18"/>
                <w:szCs w:val="18"/>
                <w:lang w:eastAsia="zh-CN"/>
              </w:rPr>
              <w:t>40</w:t>
            </w:r>
            <w:r>
              <w:rPr>
                <w:rFonts w:hint="eastAsia" w:ascii="宋体" w:hAnsi="宋体"/>
                <w:b/>
                <w:color w:val="000000"/>
                <w:sz w:val="18"/>
                <w:szCs w:val="18"/>
              </w:rPr>
              <w:t>分）</w:t>
            </w:r>
          </w:p>
        </w:tc>
        <w:tc>
          <w:tcPr>
            <w:tcW w:w="3155" w:type="dxa"/>
            <w:gridSpan w:val="2"/>
            <w:noWrap w:val="0"/>
            <w:vAlign w:val="center"/>
          </w:tcPr>
          <w:p>
            <w:pPr>
              <w:rPr>
                <w:rFonts w:hint="eastAsia" w:ascii="宋体" w:hAnsi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  <w:lang w:eastAsia="zh-CN"/>
              </w:rPr>
              <w:t>服务提供能满足客户需求（以</w:t>
            </w:r>
            <w:r>
              <w:rPr>
                <w:rFonts w:hint="eastAsia" w:ascii="宋体" w:hAnsi="宋体"/>
                <w:color w:val="000000"/>
                <w:sz w:val="18"/>
                <w:szCs w:val="18"/>
                <w:lang w:val="en-US" w:eastAsia="zh-CN"/>
              </w:rPr>
              <w:t>需求书</w:t>
            </w:r>
            <w:r>
              <w:rPr>
                <w:rFonts w:hint="eastAsia" w:ascii="宋体" w:hAnsi="宋体"/>
                <w:color w:val="000000"/>
                <w:sz w:val="18"/>
                <w:szCs w:val="18"/>
                <w:lang w:eastAsia="zh-CN"/>
              </w:rPr>
              <w:t>内容为标准）</w:t>
            </w:r>
          </w:p>
        </w:tc>
        <w:tc>
          <w:tcPr>
            <w:tcW w:w="731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329" w:type="dxa"/>
            <w:gridSpan w:val="2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745" w:type="dxa"/>
            <w:noWrap w:val="0"/>
            <w:vAlign w:val="center"/>
          </w:tcPr>
          <w:p>
            <w:pPr>
              <w:rPr>
                <w:rFonts w:hint="eastAsia"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3061" w:type="dxa"/>
            <w:gridSpan w:val="2"/>
            <w:noWrap w:val="0"/>
            <w:vAlign w:val="center"/>
          </w:tcPr>
          <w:p>
            <w:pPr>
              <w:rPr>
                <w:rFonts w:hint="eastAsia" w:ascii="宋体" w:hAnsi="宋体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1355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/>
                <w:color w:val="000000"/>
                <w:sz w:val="18"/>
                <w:szCs w:val="18"/>
              </w:rPr>
            </w:pPr>
          </w:p>
        </w:tc>
        <w:tc>
          <w:tcPr>
            <w:tcW w:w="3155" w:type="dxa"/>
            <w:gridSpan w:val="2"/>
            <w:noWrap w:val="0"/>
            <w:vAlign w:val="center"/>
          </w:tcPr>
          <w:p>
            <w:pPr>
              <w:rPr>
                <w:rFonts w:hint="eastAsia" w:ascii="宋体" w:hAnsi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  <w:lang w:eastAsia="zh-CN"/>
              </w:rPr>
              <w:t>服务质量稳定，无返工现象</w:t>
            </w:r>
          </w:p>
        </w:tc>
        <w:tc>
          <w:tcPr>
            <w:tcW w:w="731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329" w:type="dxa"/>
            <w:gridSpan w:val="2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745" w:type="dxa"/>
            <w:noWrap w:val="0"/>
            <w:vAlign w:val="center"/>
          </w:tcPr>
          <w:p>
            <w:pPr>
              <w:rPr>
                <w:rFonts w:hint="eastAsia"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3061" w:type="dxa"/>
            <w:gridSpan w:val="2"/>
            <w:noWrap w:val="0"/>
            <w:vAlign w:val="center"/>
          </w:tcPr>
          <w:p>
            <w:pPr>
              <w:rPr>
                <w:rFonts w:hint="eastAsia" w:ascii="宋体" w:hAnsi="宋体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1355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/>
                <w:color w:val="000000"/>
                <w:sz w:val="18"/>
                <w:szCs w:val="18"/>
              </w:rPr>
            </w:pPr>
          </w:p>
        </w:tc>
        <w:tc>
          <w:tcPr>
            <w:tcW w:w="3155" w:type="dxa"/>
            <w:gridSpan w:val="2"/>
            <w:noWrap w:val="0"/>
            <w:vAlign w:val="center"/>
          </w:tcPr>
          <w:p>
            <w:pPr>
              <w:rPr>
                <w:rFonts w:hint="eastAsia" w:ascii="宋体" w:hAnsi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eastAsia="zh-CN"/>
              </w:rPr>
              <w:t>信息安全管理良好</w:t>
            </w:r>
          </w:p>
        </w:tc>
        <w:tc>
          <w:tcPr>
            <w:tcW w:w="731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329" w:type="dxa"/>
            <w:gridSpan w:val="2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745" w:type="dxa"/>
            <w:noWrap w:val="0"/>
            <w:vAlign w:val="center"/>
          </w:tcPr>
          <w:p>
            <w:pPr>
              <w:rPr>
                <w:rFonts w:hint="eastAsia"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3061" w:type="dxa"/>
            <w:gridSpan w:val="2"/>
            <w:noWrap w:val="0"/>
            <w:vAlign w:val="center"/>
          </w:tcPr>
          <w:p>
            <w:pPr>
              <w:rPr>
                <w:rFonts w:hint="eastAsia" w:ascii="宋体" w:hAnsi="宋体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1355" w:type="dxa"/>
            <w:vMerge w:val="restart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18"/>
                <w:szCs w:val="18"/>
              </w:rPr>
              <w:t>合作</w:t>
            </w:r>
          </w:p>
          <w:p>
            <w:pPr>
              <w:jc w:val="center"/>
              <w:rPr>
                <w:rFonts w:hint="eastAsia" w:ascii="宋体" w:hAnsi="宋体"/>
                <w:b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color w:val="000000"/>
                <w:sz w:val="18"/>
                <w:szCs w:val="18"/>
              </w:rPr>
              <w:t>态度</w:t>
            </w:r>
          </w:p>
          <w:p>
            <w:pPr>
              <w:jc w:val="center"/>
              <w:rPr>
                <w:rFonts w:hint="eastAsia" w:ascii="宋体" w:hAnsi="宋体"/>
                <w:b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color w:val="000000"/>
                <w:sz w:val="18"/>
                <w:szCs w:val="18"/>
              </w:rPr>
              <w:t>（1</w:t>
            </w:r>
            <w:r>
              <w:rPr>
                <w:rFonts w:hint="eastAsia" w:ascii="宋体" w:hAnsi="宋体"/>
                <w:b/>
                <w:color w:val="000000"/>
                <w:sz w:val="18"/>
                <w:szCs w:val="18"/>
                <w:lang w:eastAsia="zh-CN"/>
              </w:rPr>
              <w:t>5</w:t>
            </w:r>
            <w:r>
              <w:rPr>
                <w:rFonts w:hint="eastAsia" w:ascii="宋体" w:hAnsi="宋体"/>
                <w:b/>
                <w:color w:val="000000"/>
                <w:sz w:val="18"/>
                <w:szCs w:val="18"/>
              </w:rPr>
              <w:t>分）</w:t>
            </w:r>
          </w:p>
        </w:tc>
        <w:tc>
          <w:tcPr>
            <w:tcW w:w="3155" w:type="dxa"/>
            <w:gridSpan w:val="2"/>
            <w:noWrap w:val="0"/>
            <w:vAlign w:val="center"/>
          </w:tcPr>
          <w:p>
            <w:pPr>
              <w:rPr>
                <w:rFonts w:hint="eastAsia" w:ascii="宋体" w:hAnsi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  <w:lang w:eastAsia="zh-CN"/>
              </w:rPr>
              <w:t>项目负责人及时向我方汇报项目情况，提出建议</w:t>
            </w:r>
          </w:p>
        </w:tc>
        <w:tc>
          <w:tcPr>
            <w:tcW w:w="731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5</w:t>
            </w:r>
          </w:p>
        </w:tc>
        <w:tc>
          <w:tcPr>
            <w:tcW w:w="1329" w:type="dxa"/>
            <w:gridSpan w:val="2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745" w:type="dxa"/>
            <w:noWrap w:val="0"/>
            <w:vAlign w:val="center"/>
          </w:tcPr>
          <w:p>
            <w:pPr>
              <w:rPr>
                <w:rFonts w:hint="eastAsia"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3061" w:type="dxa"/>
            <w:gridSpan w:val="2"/>
            <w:noWrap w:val="0"/>
            <w:vAlign w:val="center"/>
          </w:tcPr>
          <w:p>
            <w:pPr>
              <w:rPr>
                <w:rFonts w:hint="eastAsia" w:ascii="宋体" w:hAnsi="宋体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1355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/>
                <w:color w:val="000000"/>
                <w:sz w:val="18"/>
                <w:szCs w:val="18"/>
              </w:rPr>
            </w:pPr>
          </w:p>
        </w:tc>
        <w:tc>
          <w:tcPr>
            <w:tcW w:w="3155" w:type="dxa"/>
            <w:gridSpan w:val="2"/>
            <w:noWrap w:val="0"/>
            <w:vAlign w:val="center"/>
          </w:tcPr>
          <w:p>
            <w:pPr>
              <w:rPr>
                <w:rFonts w:hint="eastAsia" w:ascii="宋体" w:hAnsi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eastAsia="zh-CN"/>
              </w:rPr>
              <w:t>项目应急措施及响应程度</w:t>
            </w:r>
          </w:p>
        </w:tc>
        <w:tc>
          <w:tcPr>
            <w:tcW w:w="731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5</w:t>
            </w:r>
          </w:p>
        </w:tc>
        <w:tc>
          <w:tcPr>
            <w:tcW w:w="1329" w:type="dxa"/>
            <w:gridSpan w:val="2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745" w:type="dxa"/>
            <w:noWrap w:val="0"/>
            <w:vAlign w:val="center"/>
          </w:tcPr>
          <w:p>
            <w:pPr>
              <w:rPr>
                <w:rFonts w:hint="eastAsia"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3061" w:type="dxa"/>
            <w:gridSpan w:val="2"/>
            <w:noWrap w:val="0"/>
            <w:vAlign w:val="center"/>
          </w:tcPr>
          <w:p>
            <w:pPr>
              <w:rPr>
                <w:rFonts w:hint="eastAsia" w:ascii="宋体" w:hAnsi="宋体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1355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/>
                <w:color w:val="000000"/>
                <w:sz w:val="18"/>
                <w:szCs w:val="18"/>
              </w:rPr>
            </w:pPr>
          </w:p>
        </w:tc>
        <w:tc>
          <w:tcPr>
            <w:tcW w:w="3155" w:type="dxa"/>
            <w:gridSpan w:val="2"/>
            <w:noWrap w:val="0"/>
            <w:vAlign w:val="center"/>
          </w:tcPr>
          <w:p>
            <w:pPr>
              <w:rPr>
                <w:rFonts w:hint="eastAsia" w:ascii="宋体" w:hAnsi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eastAsia="zh-CN"/>
              </w:rPr>
              <w:t>相关单位的沟通配合良好</w:t>
            </w:r>
          </w:p>
        </w:tc>
        <w:tc>
          <w:tcPr>
            <w:tcW w:w="731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5</w:t>
            </w:r>
          </w:p>
        </w:tc>
        <w:tc>
          <w:tcPr>
            <w:tcW w:w="1329" w:type="dxa"/>
            <w:gridSpan w:val="2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745" w:type="dxa"/>
            <w:noWrap w:val="0"/>
            <w:vAlign w:val="center"/>
          </w:tcPr>
          <w:p>
            <w:pPr>
              <w:rPr>
                <w:rFonts w:hint="eastAsia" w:ascii="宋体" w:hAnsi="宋体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3061" w:type="dxa"/>
            <w:gridSpan w:val="2"/>
            <w:noWrap w:val="0"/>
            <w:vAlign w:val="center"/>
          </w:tcPr>
          <w:p>
            <w:pPr>
              <w:rPr>
                <w:rFonts w:hint="eastAsia" w:ascii="宋体" w:hAnsi="宋体"/>
                <w:color w:val="000000"/>
                <w:sz w:val="18"/>
                <w:szCs w:val="18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1355" w:type="dxa"/>
            <w:vMerge w:val="restart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color w:val="000000"/>
                <w:sz w:val="18"/>
                <w:szCs w:val="18"/>
                <w:lang w:eastAsia="zh-CN"/>
              </w:rPr>
              <w:t>技术能力</w:t>
            </w:r>
          </w:p>
          <w:p>
            <w:pPr>
              <w:jc w:val="center"/>
              <w:rPr>
                <w:rFonts w:hint="eastAsia" w:ascii="宋体" w:hAnsi="宋体"/>
                <w:b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18"/>
                <w:szCs w:val="18"/>
              </w:rPr>
              <w:t>（</w:t>
            </w:r>
            <w:r>
              <w:rPr>
                <w:rFonts w:hint="eastAsia" w:ascii="宋体" w:hAnsi="宋体"/>
                <w:b/>
                <w:color w:val="000000"/>
                <w:sz w:val="18"/>
                <w:szCs w:val="18"/>
                <w:lang w:eastAsia="zh-CN"/>
              </w:rPr>
              <w:t>15</w:t>
            </w:r>
            <w:r>
              <w:rPr>
                <w:rFonts w:hint="eastAsia" w:ascii="宋体" w:hAnsi="宋体"/>
                <w:b/>
                <w:color w:val="000000"/>
                <w:sz w:val="18"/>
                <w:szCs w:val="18"/>
              </w:rPr>
              <w:t>）</w:t>
            </w:r>
          </w:p>
        </w:tc>
        <w:tc>
          <w:tcPr>
            <w:tcW w:w="3155" w:type="dxa"/>
            <w:gridSpan w:val="2"/>
            <w:noWrap w:val="0"/>
            <w:vAlign w:val="center"/>
          </w:tcPr>
          <w:p>
            <w:pPr>
              <w:rPr>
                <w:rFonts w:hint="eastAsia" w:ascii="宋体" w:hAnsi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  <w:lang w:eastAsia="zh-CN"/>
              </w:rPr>
              <w:t>技术能力满足项目实施的要求</w:t>
            </w:r>
          </w:p>
        </w:tc>
        <w:tc>
          <w:tcPr>
            <w:tcW w:w="731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  <w:lang w:eastAsia="zh-CN"/>
              </w:rPr>
              <w:t>10</w:t>
            </w:r>
          </w:p>
        </w:tc>
        <w:tc>
          <w:tcPr>
            <w:tcW w:w="1329" w:type="dxa"/>
            <w:gridSpan w:val="2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745" w:type="dxa"/>
            <w:noWrap w:val="0"/>
            <w:vAlign w:val="center"/>
          </w:tcPr>
          <w:p>
            <w:pPr>
              <w:rPr>
                <w:rFonts w:hint="eastAsia"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3061" w:type="dxa"/>
            <w:gridSpan w:val="2"/>
            <w:noWrap w:val="0"/>
            <w:vAlign w:val="center"/>
          </w:tcPr>
          <w:p>
            <w:pPr>
              <w:rPr>
                <w:rFonts w:hint="eastAsia" w:ascii="宋体" w:hAnsi="宋体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1355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/>
                <w:color w:val="000000"/>
                <w:sz w:val="18"/>
                <w:szCs w:val="18"/>
              </w:rPr>
            </w:pPr>
          </w:p>
        </w:tc>
        <w:tc>
          <w:tcPr>
            <w:tcW w:w="3155" w:type="dxa"/>
            <w:gridSpan w:val="2"/>
            <w:noWrap w:val="0"/>
            <w:vAlign w:val="center"/>
          </w:tcPr>
          <w:p>
            <w:pPr>
              <w:rPr>
                <w:rFonts w:hint="eastAsia" w:ascii="宋体" w:hAnsi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  <w:lang w:eastAsia="zh-CN"/>
              </w:rPr>
              <w:t>主动优化改进提高质量</w:t>
            </w:r>
          </w:p>
        </w:tc>
        <w:tc>
          <w:tcPr>
            <w:tcW w:w="731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  <w:lang w:eastAsia="zh-CN"/>
              </w:rPr>
              <w:t>5</w:t>
            </w:r>
          </w:p>
        </w:tc>
        <w:tc>
          <w:tcPr>
            <w:tcW w:w="1329" w:type="dxa"/>
            <w:gridSpan w:val="2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745" w:type="dxa"/>
            <w:noWrap w:val="0"/>
            <w:vAlign w:val="center"/>
          </w:tcPr>
          <w:p>
            <w:pPr>
              <w:rPr>
                <w:rFonts w:hint="eastAsia"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3061" w:type="dxa"/>
            <w:gridSpan w:val="2"/>
            <w:noWrap w:val="0"/>
            <w:vAlign w:val="center"/>
          </w:tcPr>
          <w:p>
            <w:pPr>
              <w:rPr>
                <w:rFonts w:hint="eastAsia" w:ascii="宋体" w:hAnsi="宋体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1355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color w:val="000000"/>
                <w:sz w:val="18"/>
                <w:szCs w:val="18"/>
                <w:lang w:eastAsia="zh-CN"/>
              </w:rPr>
              <w:t>安全生产</w:t>
            </w:r>
          </w:p>
          <w:p>
            <w:pPr>
              <w:jc w:val="center"/>
              <w:rPr>
                <w:rFonts w:hint="eastAsia" w:ascii="宋体" w:hAnsi="宋体"/>
                <w:b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color w:val="000000"/>
                <w:sz w:val="18"/>
                <w:szCs w:val="18"/>
              </w:rPr>
              <w:t>（</w:t>
            </w:r>
            <w:r>
              <w:rPr>
                <w:rFonts w:hint="eastAsia" w:ascii="宋体" w:hAnsi="宋体"/>
                <w:b/>
                <w:color w:val="000000"/>
                <w:sz w:val="18"/>
                <w:szCs w:val="18"/>
                <w:lang w:eastAsia="zh-CN"/>
              </w:rPr>
              <w:t>10</w:t>
            </w:r>
            <w:r>
              <w:rPr>
                <w:rFonts w:hint="eastAsia" w:ascii="宋体" w:hAnsi="宋体"/>
                <w:b/>
                <w:color w:val="000000"/>
                <w:sz w:val="18"/>
                <w:szCs w:val="18"/>
              </w:rPr>
              <w:t>分）</w:t>
            </w:r>
          </w:p>
        </w:tc>
        <w:tc>
          <w:tcPr>
            <w:tcW w:w="3155" w:type="dxa"/>
            <w:gridSpan w:val="2"/>
            <w:noWrap w:val="0"/>
            <w:vAlign w:val="center"/>
          </w:tcPr>
          <w:p>
            <w:pPr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  <w:lang w:eastAsia="zh-CN"/>
              </w:rPr>
              <w:t>安全生产执行情况</w:t>
            </w:r>
          </w:p>
        </w:tc>
        <w:tc>
          <w:tcPr>
            <w:tcW w:w="731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329" w:type="dxa"/>
            <w:gridSpan w:val="2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745" w:type="dxa"/>
            <w:noWrap w:val="0"/>
            <w:vAlign w:val="center"/>
          </w:tcPr>
          <w:p>
            <w:pPr>
              <w:rPr>
                <w:rFonts w:hint="eastAsia"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3061" w:type="dxa"/>
            <w:gridSpan w:val="2"/>
            <w:noWrap w:val="0"/>
            <w:vAlign w:val="center"/>
          </w:tcPr>
          <w:p>
            <w:pPr>
              <w:rPr>
                <w:rFonts w:hint="eastAsia" w:ascii="宋体" w:hAnsi="宋体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1355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color w:val="000000"/>
                <w:sz w:val="18"/>
                <w:szCs w:val="18"/>
                <w:lang w:eastAsia="zh-CN"/>
              </w:rPr>
              <w:t>满意度</w:t>
            </w:r>
          </w:p>
          <w:p>
            <w:pPr>
              <w:jc w:val="center"/>
              <w:rPr>
                <w:rFonts w:hint="eastAsia" w:ascii="宋体" w:hAnsi="宋体"/>
                <w:b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color w:val="000000"/>
                <w:sz w:val="18"/>
                <w:szCs w:val="18"/>
              </w:rPr>
              <w:t>（</w:t>
            </w:r>
            <w:r>
              <w:rPr>
                <w:rFonts w:hint="eastAsia" w:ascii="宋体" w:hAnsi="宋体"/>
                <w:b/>
                <w:color w:val="000000"/>
                <w:sz w:val="18"/>
                <w:szCs w:val="18"/>
                <w:lang w:eastAsia="zh-CN"/>
              </w:rPr>
              <w:t>10分</w:t>
            </w:r>
            <w:r>
              <w:rPr>
                <w:rFonts w:hint="eastAsia" w:ascii="宋体" w:hAnsi="宋体"/>
                <w:b/>
                <w:color w:val="000000"/>
                <w:sz w:val="18"/>
                <w:szCs w:val="18"/>
              </w:rPr>
              <w:t>）</w:t>
            </w:r>
          </w:p>
        </w:tc>
        <w:tc>
          <w:tcPr>
            <w:tcW w:w="3155" w:type="dxa"/>
            <w:gridSpan w:val="2"/>
            <w:noWrap w:val="0"/>
            <w:vAlign w:val="center"/>
          </w:tcPr>
          <w:p>
            <w:pPr>
              <w:rPr>
                <w:rFonts w:hint="eastAsia" w:ascii="宋体" w:hAnsi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  <w:lang w:val="en-US" w:eastAsia="zh-CN"/>
              </w:rPr>
              <w:t>分包方</w:t>
            </w:r>
            <w:r>
              <w:rPr>
                <w:rFonts w:hint="eastAsia" w:ascii="宋体" w:hAnsi="宋体"/>
                <w:color w:val="000000"/>
                <w:sz w:val="18"/>
                <w:szCs w:val="18"/>
                <w:lang w:eastAsia="zh-CN"/>
              </w:rPr>
              <w:t>对项目的满意度评价</w:t>
            </w:r>
          </w:p>
        </w:tc>
        <w:tc>
          <w:tcPr>
            <w:tcW w:w="731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329" w:type="dxa"/>
            <w:gridSpan w:val="2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745" w:type="dxa"/>
            <w:noWrap w:val="0"/>
            <w:vAlign w:val="center"/>
          </w:tcPr>
          <w:p>
            <w:pPr>
              <w:rPr>
                <w:rFonts w:hint="eastAsia"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3061" w:type="dxa"/>
            <w:gridSpan w:val="2"/>
            <w:noWrap w:val="0"/>
            <w:vAlign w:val="center"/>
          </w:tcPr>
          <w:p>
            <w:pPr>
              <w:rPr>
                <w:rFonts w:hint="eastAsia" w:ascii="宋体" w:hAnsi="宋体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7" w:hRule="atLeast"/>
          <w:jc w:val="center"/>
        </w:trPr>
        <w:tc>
          <w:tcPr>
            <w:tcW w:w="6570" w:type="dxa"/>
            <w:gridSpan w:val="6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18"/>
                <w:szCs w:val="18"/>
                <w:lang w:eastAsia="zh-CN"/>
              </w:rPr>
              <w:t>考核评分合计</w:t>
            </w:r>
          </w:p>
        </w:tc>
        <w:tc>
          <w:tcPr>
            <w:tcW w:w="3806" w:type="dxa"/>
            <w:gridSpan w:val="3"/>
            <w:noWrap w:val="0"/>
            <w:vAlign w:val="center"/>
          </w:tcPr>
          <w:p>
            <w:pPr>
              <w:rPr>
                <w:rFonts w:hint="eastAsia" w:ascii="宋体" w:hAnsi="宋体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8" w:hRule="atLeast"/>
          <w:jc w:val="center"/>
        </w:trPr>
        <w:tc>
          <w:tcPr>
            <w:tcW w:w="1355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18"/>
                <w:szCs w:val="18"/>
                <w:lang w:eastAsia="zh-CN"/>
              </w:rPr>
              <w:t>考核评分</w:t>
            </w:r>
          </w:p>
        </w:tc>
        <w:tc>
          <w:tcPr>
            <w:tcW w:w="1564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591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18"/>
                <w:szCs w:val="18"/>
                <w:lang w:eastAsia="zh-CN"/>
              </w:rPr>
              <w:t>直接扣分</w:t>
            </w:r>
          </w:p>
        </w:tc>
        <w:tc>
          <w:tcPr>
            <w:tcW w:w="1637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2533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18"/>
                <w:szCs w:val="18"/>
                <w:lang w:eastAsia="zh-CN"/>
              </w:rPr>
              <w:t>综合得分</w:t>
            </w:r>
          </w:p>
          <w:p>
            <w:pPr>
              <w:jc w:val="center"/>
              <w:rPr>
                <w:rFonts w:hint="eastAsia" w:ascii="宋体" w:hAnsi="宋体"/>
                <w:b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18"/>
                <w:szCs w:val="18"/>
                <w:lang w:eastAsia="zh-CN"/>
              </w:rPr>
              <w:t>=</w:t>
            </w:r>
            <w:r>
              <w:rPr>
                <w:rFonts w:hint="eastAsia" w:ascii="宋体" w:hAnsi="宋体"/>
                <w:b/>
                <w:sz w:val="18"/>
                <w:szCs w:val="18"/>
                <w:lang w:eastAsia="zh-CN"/>
              </w:rPr>
              <w:t>考核评分－直接扣分</w:t>
            </w:r>
          </w:p>
        </w:tc>
        <w:tc>
          <w:tcPr>
            <w:tcW w:w="1696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/>
                <w:color w:val="000000"/>
                <w:sz w:val="18"/>
                <w:szCs w:val="18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13" w:hRule="atLeast"/>
          <w:jc w:val="center"/>
        </w:trPr>
        <w:tc>
          <w:tcPr>
            <w:tcW w:w="10376" w:type="dxa"/>
            <w:gridSpan w:val="9"/>
            <w:noWrap w:val="0"/>
            <w:vAlign w:val="center"/>
          </w:tcPr>
          <w:p>
            <w:pPr>
              <w:jc w:val="both"/>
              <w:rPr>
                <w:rFonts w:hint="eastAsia" w:ascii="宋体" w:hAnsi="宋体" w:cs="宋体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b/>
                <w:sz w:val="18"/>
                <w:szCs w:val="18"/>
                <w:lang w:eastAsia="zh-CN"/>
              </w:rPr>
              <w:t>考核</w:t>
            </w:r>
            <w:r>
              <w:rPr>
                <w:rFonts w:hint="eastAsia" w:ascii="宋体" w:hAnsi="宋体" w:cs="宋体"/>
                <w:b/>
                <w:color w:val="auto"/>
                <w:sz w:val="18"/>
                <w:szCs w:val="18"/>
                <w:lang w:eastAsia="zh-CN"/>
              </w:rPr>
              <w:t>结果的运用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eastAsia="zh-CN"/>
              </w:rPr>
              <w:t>（以下结算扣减标准为基准，如客户对项目结算要求高于该标准则要相应调高）：</w:t>
            </w:r>
          </w:p>
          <w:p>
            <w:pPr>
              <w:numPr>
                <w:ilvl w:val="0"/>
                <w:numId w:val="5"/>
              </w:numPr>
              <w:jc w:val="both"/>
              <w:rPr>
                <w:rFonts w:hint="eastAsia" w:ascii="宋体" w:hAnsi="宋体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color w:val="auto"/>
                <w:sz w:val="18"/>
                <w:szCs w:val="18"/>
                <w:lang w:eastAsia="zh-CN"/>
              </w:rPr>
              <w:t>综合得分＜</w:t>
            </w:r>
            <w:r>
              <w:rPr>
                <w:rFonts w:ascii="宋体" w:hAnsi="宋体"/>
                <w:color w:val="auto"/>
                <w:sz w:val="18"/>
                <w:szCs w:val="18"/>
                <w:lang w:eastAsia="zh-CN"/>
              </w:rPr>
              <w:t>0</w:t>
            </w:r>
            <w:r>
              <w:rPr>
                <w:rFonts w:hint="eastAsia" w:ascii="宋体" w:hAnsi="宋体"/>
                <w:color w:val="auto"/>
                <w:sz w:val="18"/>
                <w:szCs w:val="18"/>
                <w:lang w:eastAsia="zh-CN"/>
              </w:rPr>
              <w:t>：按零分处理；</w:t>
            </w:r>
          </w:p>
          <w:p>
            <w:pPr>
              <w:numPr>
                <w:ilvl w:val="0"/>
                <w:numId w:val="5"/>
              </w:numPr>
              <w:jc w:val="both"/>
              <w:rPr>
                <w:rFonts w:hint="eastAsia" w:ascii="宋体" w:hAnsi="宋体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color w:val="auto"/>
                <w:sz w:val="18"/>
                <w:szCs w:val="18"/>
                <w:lang w:eastAsia="zh-CN"/>
              </w:rPr>
              <w:t>综合得分≤60分：即时通报并取消其合作资格；</w:t>
            </w:r>
          </w:p>
          <w:p>
            <w:pPr>
              <w:numPr>
                <w:ilvl w:val="0"/>
                <w:numId w:val="5"/>
              </w:numPr>
              <w:jc w:val="both"/>
              <w:rPr>
                <w:rFonts w:hint="eastAsia" w:ascii="宋体" w:hAnsi="宋体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color w:val="auto"/>
                <w:sz w:val="18"/>
                <w:szCs w:val="18"/>
                <w:lang w:eastAsia="zh-CN"/>
              </w:rPr>
              <w:t>综合得分＜</w:t>
            </w:r>
            <w:r>
              <w:rPr>
                <w:rFonts w:ascii="宋体" w:hAnsi="宋体"/>
                <w:color w:val="auto"/>
                <w:sz w:val="18"/>
                <w:szCs w:val="18"/>
                <w:lang w:eastAsia="zh-CN"/>
              </w:rPr>
              <w:t>80</w:t>
            </w:r>
            <w:r>
              <w:rPr>
                <w:rFonts w:hint="eastAsia" w:ascii="宋体" w:hAnsi="宋体"/>
                <w:color w:val="auto"/>
                <w:sz w:val="18"/>
                <w:szCs w:val="18"/>
                <w:lang w:eastAsia="zh-CN"/>
              </w:rPr>
              <w:t>分：结算扣减额＝服务费×（</w:t>
            </w:r>
            <w:r>
              <w:rPr>
                <w:rFonts w:ascii="宋体" w:hAnsi="宋体"/>
                <w:color w:val="auto"/>
                <w:sz w:val="18"/>
                <w:szCs w:val="18"/>
                <w:lang w:eastAsia="zh-CN"/>
              </w:rPr>
              <w:t>90-</w:t>
            </w:r>
            <w:r>
              <w:rPr>
                <w:rFonts w:hint="eastAsia" w:ascii="宋体" w:hAnsi="宋体"/>
                <w:color w:val="auto"/>
                <w:sz w:val="18"/>
                <w:szCs w:val="18"/>
                <w:lang w:eastAsia="zh-CN"/>
              </w:rPr>
              <w:t>综合得分）×</w:t>
            </w:r>
            <w:r>
              <w:rPr>
                <w:rFonts w:ascii="宋体" w:hAnsi="宋体"/>
                <w:color w:val="auto"/>
                <w:sz w:val="18"/>
                <w:szCs w:val="18"/>
                <w:lang w:eastAsia="zh-CN"/>
              </w:rPr>
              <w:t>0.8%</w:t>
            </w:r>
            <w:r>
              <w:rPr>
                <w:rFonts w:hint="eastAsia" w:ascii="宋体" w:hAnsi="宋体"/>
                <w:color w:val="auto"/>
                <w:sz w:val="18"/>
                <w:szCs w:val="18"/>
                <w:lang w:eastAsia="zh-CN"/>
              </w:rPr>
              <w:t>；</w:t>
            </w:r>
          </w:p>
          <w:p>
            <w:pPr>
              <w:numPr>
                <w:ilvl w:val="0"/>
                <w:numId w:val="5"/>
              </w:numPr>
              <w:jc w:val="both"/>
              <w:rPr>
                <w:rFonts w:hint="eastAsia" w:ascii="宋体" w:hAnsi="宋体"/>
                <w:b/>
                <w:color w:val="auto"/>
                <w:sz w:val="18"/>
                <w:szCs w:val="18"/>
                <w:lang w:eastAsia="zh-CN"/>
              </w:rPr>
            </w:pPr>
            <w:r>
              <w:rPr>
                <w:rFonts w:ascii="宋体" w:hAnsi="宋体"/>
                <w:color w:val="auto"/>
                <w:sz w:val="18"/>
                <w:szCs w:val="18"/>
                <w:lang w:eastAsia="zh-CN"/>
              </w:rPr>
              <w:t>80</w:t>
            </w:r>
            <w:r>
              <w:rPr>
                <w:rFonts w:hint="eastAsia" w:ascii="宋体" w:hAnsi="宋体"/>
                <w:color w:val="auto"/>
                <w:sz w:val="18"/>
                <w:szCs w:val="18"/>
                <w:lang w:eastAsia="zh-CN"/>
              </w:rPr>
              <w:t>分≤综合得分﹤</w:t>
            </w:r>
            <w:r>
              <w:rPr>
                <w:rFonts w:ascii="宋体" w:hAnsi="宋体"/>
                <w:color w:val="auto"/>
                <w:sz w:val="18"/>
                <w:szCs w:val="18"/>
                <w:lang w:eastAsia="zh-CN"/>
              </w:rPr>
              <w:t>90</w:t>
            </w:r>
            <w:r>
              <w:rPr>
                <w:rFonts w:hint="eastAsia" w:ascii="宋体" w:hAnsi="宋体"/>
                <w:color w:val="auto"/>
                <w:sz w:val="18"/>
                <w:szCs w:val="18"/>
                <w:lang w:eastAsia="zh-CN"/>
              </w:rPr>
              <w:t>分：结算扣减额＝服务费×（</w:t>
            </w:r>
            <w:r>
              <w:rPr>
                <w:rFonts w:ascii="宋体" w:hAnsi="宋体"/>
                <w:color w:val="auto"/>
                <w:sz w:val="18"/>
                <w:szCs w:val="18"/>
                <w:lang w:eastAsia="zh-CN"/>
              </w:rPr>
              <w:t>90-</w:t>
            </w:r>
            <w:r>
              <w:rPr>
                <w:rFonts w:hint="eastAsia" w:ascii="宋体" w:hAnsi="宋体"/>
                <w:color w:val="auto"/>
                <w:sz w:val="18"/>
                <w:szCs w:val="18"/>
                <w:lang w:eastAsia="zh-CN"/>
              </w:rPr>
              <w:t>综合得分）×</w:t>
            </w:r>
            <w:r>
              <w:rPr>
                <w:rFonts w:ascii="宋体" w:hAnsi="宋体"/>
                <w:color w:val="auto"/>
                <w:sz w:val="18"/>
                <w:szCs w:val="18"/>
                <w:lang w:eastAsia="zh-CN"/>
              </w:rPr>
              <w:t>0.5%</w:t>
            </w:r>
            <w:r>
              <w:rPr>
                <w:rFonts w:hint="eastAsia" w:ascii="宋体" w:hAnsi="宋体"/>
                <w:color w:val="auto"/>
                <w:sz w:val="18"/>
                <w:szCs w:val="18"/>
                <w:lang w:eastAsia="zh-CN"/>
              </w:rPr>
              <w:t>；</w:t>
            </w:r>
          </w:p>
          <w:p>
            <w:pPr>
              <w:numPr>
                <w:ilvl w:val="0"/>
                <w:numId w:val="5"/>
              </w:numPr>
              <w:jc w:val="both"/>
              <w:rPr>
                <w:rFonts w:hint="eastAsia" w:ascii="宋体" w:hAnsi="宋体"/>
                <w:b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eastAsia="zh-CN"/>
              </w:rPr>
              <w:t>综合得分≥</w:t>
            </w:r>
            <w:r>
              <w:rPr>
                <w:rFonts w:ascii="宋体" w:hAnsi="宋体"/>
                <w:sz w:val="18"/>
                <w:szCs w:val="18"/>
                <w:lang w:eastAsia="zh-CN"/>
              </w:rPr>
              <w:t>90</w:t>
            </w:r>
            <w:r>
              <w:rPr>
                <w:rFonts w:hint="eastAsia" w:ascii="宋体" w:hAnsi="宋体"/>
                <w:sz w:val="18"/>
                <w:szCs w:val="18"/>
                <w:lang w:eastAsia="zh-CN"/>
              </w:rPr>
              <w:t>分：结算扣减额＝</w:t>
            </w:r>
            <w:r>
              <w:rPr>
                <w:rFonts w:ascii="宋体" w:hAnsi="宋体"/>
                <w:sz w:val="18"/>
                <w:szCs w:val="18"/>
                <w:lang w:eastAsia="zh-CN"/>
              </w:rPr>
              <w:t>0</w:t>
            </w:r>
            <w:r>
              <w:rPr>
                <w:rFonts w:hint="eastAsia" w:ascii="宋体" w:hAnsi="宋体"/>
                <w:sz w:val="18"/>
                <w:szCs w:val="18"/>
                <w:lang w:eastAsia="zh-CN"/>
              </w:rPr>
              <w:t>.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jc w:val="right"/>
        <w:rPr>
          <w:rFonts w:hint="default"/>
          <w:sz w:val="28"/>
          <w:szCs w:val="28"/>
          <w:lang w:val="en-US" w:eastAsia="zh-CN"/>
        </w:rPr>
      </w:pPr>
    </w:p>
    <w:p>
      <w:pPr>
        <w:rPr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443F635"/>
    <w:multiLevelType w:val="singleLevel"/>
    <w:tmpl w:val="8443F635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E2B052D2"/>
    <w:multiLevelType w:val="singleLevel"/>
    <w:tmpl w:val="E2B052D2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ED6DFACD"/>
    <w:multiLevelType w:val="singleLevel"/>
    <w:tmpl w:val="ED6DFACD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654B3631"/>
    <w:multiLevelType w:val="multilevel"/>
    <w:tmpl w:val="654B3631"/>
    <w:lvl w:ilvl="0" w:tentative="0">
      <w:start w:val="1"/>
      <w:numFmt w:val="japaneseCounting"/>
      <w:lvlText w:val="%1、"/>
      <w:lvlJc w:val="left"/>
      <w:pPr>
        <w:ind w:left="14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540" w:hanging="420"/>
      </w:pPr>
    </w:lvl>
    <w:lvl w:ilvl="2" w:tentative="0">
      <w:start w:val="1"/>
      <w:numFmt w:val="lowerRoman"/>
      <w:lvlText w:val="%3."/>
      <w:lvlJc w:val="right"/>
      <w:pPr>
        <w:ind w:left="1960" w:hanging="420"/>
      </w:pPr>
    </w:lvl>
    <w:lvl w:ilvl="3" w:tentative="0">
      <w:start w:val="1"/>
      <w:numFmt w:val="decimal"/>
      <w:lvlText w:val="%4."/>
      <w:lvlJc w:val="left"/>
      <w:pPr>
        <w:ind w:left="2380" w:hanging="420"/>
      </w:pPr>
    </w:lvl>
    <w:lvl w:ilvl="4" w:tentative="0">
      <w:start w:val="1"/>
      <w:numFmt w:val="lowerLetter"/>
      <w:lvlText w:val="%5)"/>
      <w:lvlJc w:val="left"/>
      <w:pPr>
        <w:ind w:left="2800" w:hanging="420"/>
      </w:pPr>
    </w:lvl>
    <w:lvl w:ilvl="5" w:tentative="0">
      <w:start w:val="1"/>
      <w:numFmt w:val="lowerRoman"/>
      <w:lvlText w:val="%6."/>
      <w:lvlJc w:val="right"/>
      <w:pPr>
        <w:ind w:left="3220" w:hanging="420"/>
      </w:pPr>
    </w:lvl>
    <w:lvl w:ilvl="6" w:tentative="0">
      <w:start w:val="1"/>
      <w:numFmt w:val="decimal"/>
      <w:lvlText w:val="%7."/>
      <w:lvlJc w:val="left"/>
      <w:pPr>
        <w:ind w:left="3640" w:hanging="420"/>
      </w:pPr>
    </w:lvl>
    <w:lvl w:ilvl="7" w:tentative="0">
      <w:start w:val="1"/>
      <w:numFmt w:val="lowerLetter"/>
      <w:lvlText w:val="%8)"/>
      <w:lvlJc w:val="left"/>
      <w:pPr>
        <w:ind w:left="4060" w:hanging="420"/>
      </w:pPr>
    </w:lvl>
    <w:lvl w:ilvl="8" w:tentative="0">
      <w:start w:val="1"/>
      <w:numFmt w:val="lowerRoman"/>
      <w:lvlText w:val="%9."/>
      <w:lvlJc w:val="right"/>
      <w:pPr>
        <w:ind w:left="4480" w:hanging="420"/>
      </w:pPr>
    </w:lvl>
  </w:abstractNum>
  <w:abstractNum w:abstractNumId="4">
    <w:nsid w:val="67625787"/>
    <w:multiLevelType w:val="multilevel"/>
    <w:tmpl w:val="67625787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 w:ascii="宋体" w:hAnsi="宋体" w:eastAsia="宋体"/>
        <w:b/>
        <w:color w:val="00000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0781"/>
    <w:rsid w:val="000A6E01"/>
    <w:rsid w:val="00132DAF"/>
    <w:rsid w:val="0015517B"/>
    <w:rsid w:val="00156FA3"/>
    <w:rsid w:val="001E7D7B"/>
    <w:rsid w:val="001F0076"/>
    <w:rsid w:val="002A3037"/>
    <w:rsid w:val="002B2FB8"/>
    <w:rsid w:val="0037114F"/>
    <w:rsid w:val="0043541E"/>
    <w:rsid w:val="004703DB"/>
    <w:rsid w:val="004A1275"/>
    <w:rsid w:val="004B54E4"/>
    <w:rsid w:val="00554003"/>
    <w:rsid w:val="006313B6"/>
    <w:rsid w:val="00670781"/>
    <w:rsid w:val="00693FDD"/>
    <w:rsid w:val="006C124C"/>
    <w:rsid w:val="007D4A2D"/>
    <w:rsid w:val="00817A15"/>
    <w:rsid w:val="008910CE"/>
    <w:rsid w:val="00957BF4"/>
    <w:rsid w:val="00964915"/>
    <w:rsid w:val="00965DC6"/>
    <w:rsid w:val="009A2861"/>
    <w:rsid w:val="009B2E04"/>
    <w:rsid w:val="00A35858"/>
    <w:rsid w:val="00A97842"/>
    <w:rsid w:val="00B21CAD"/>
    <w:rsid w:val="00BA0F51"/>
    <w:rsid w:val="00BC105C"/>
    <w:rsid w:val="00BD3956"/>
    <w:rsid w:val="00BD6C39"/>
    <w:rsid w:val="00C4360D"/>
    <w:rsid w:val="00C531EA"/>
    <w:rsid w:val="00C83E62"/>
    <w:rsid w:val="00C944D4"/>
    <w:rsid w:val="00CD4A3C"/>
    <w:rsid w:val="00D049FA"/>
    <w:rsid w:val="00D537C2"/>
    <w:rsid w:val="00D7300C"/>
    <w:rsid w:val="00D80C96"/>
    <w:rsid w:val="00E612ED"/>
    <w:rsid w:val="00EF464E"/>
    <w:rsid w:val="00EF58CB"/>
    <w:rsid w:val="00F325D6"/>
    <w:rsid w:val="00FB44D4"/>
    <w:rsid w:val="00FF0B97"/>
    <w:rsid w:val="015C3E7F"/>
    <w:rsid w:val="03B0008F"/>
    <w:rsid w:val="056412A7"/>
    <w:rsid w:val="062E3547"/>
    <w:rsid w:val="0A653893"/>
    <w:rsid w:val="0B2932F1"/>
    <w:rsid w:val="0D9D16E6"/>
    <w:rsid w:val="10C147AE"/>
    <w:rsid w:val="157E2BEC"/>
    <w:rsid w:val="1B5A0787"/>
    <w:rsid w:val="1ECF200B"/>
    <w:rsid w:val="1FA95DE8"/>
    <w:rsid w:val="204E60DD"/>
    <w:rsid w:val="2A811930"/>
    <w:rsid w:val="2B7924C4"/>
    <w:rsid w:val="2BB6516C"/>
    <w:rsid w:val="2C8F60A5"/>
    <w:rsid w:val="2DCE54AA"/>
    <w:rsid w:val="2DF573DD"/>
    <w:rsid w:val="36EB6E31"/>
    <w:rsid w:val="37A62181"/>
    <w:rsid w:val="42CD74AD"/>
    <w:rsid w:val="44D0160C"/>
    <w:rsid w:val="46C152EA"/>
    <w:rsid w:val="47B55A4B"/>
    <w:rsid w:val="498402B1"/>
    <w:rsid w:val="4C694F46"/>
    <w:rsid w:val="4E9B3EC2"/>
    <w:rsid w:val="4EBE275D"/>
    <w:rsid w:val="54743293"/>
    <w:rsid w:val="5D583F9C"/>
    <w:rsid w:val="5EA83159"/>
    <w:rsid w:val="5F1A6E69"/>
    <w:rsid w:val="67124A6F"/>
    <w:rsid w:val="68A26633"/>
    <w:rsid w:val="6A8A3078"/>
    <w:rsid w:val="6B487FA4"/>
    <w:rsid w:val="6E786DA2"/>
    <w:rsid w:val="6F2722EB"/>
    <w:rsid w:val="73C13C08"/>
    <w:rsid w:val="74B179BE"/>
    <w:rsid w:val="75132263"/>
    <w:rsid w:val="75C53626"/>
    <w:rsid w:val="77594229"/>
    <w:rsid w:val="7DFE5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页眉 Char"/>
    <w:basedOn w:val="9"/>
    <w:link w:val="7"/>
    <w:qFormat/>
    <w:uiPriority w:val="99"/>
    <w:rPr>
      <w:sz w:val="18"/>
      <w:szCs w:val="18"/>
    </w:rPr>
  </w:style>
  <w:style w:type="character" w:customStyle="1" w:styleId="12">
    <w:name w:val="页脚 Char"/>
    <w:basedOn w:val="9"/>
    <w:link w:val="6"/>
    <w:qFormat/>
    <w:uiPriority w:val="99"/>
    <w:rPr>
      <w:sz w:val="18"/>
      <w:szCs w:val="18"/>
    </w:rPr>
  </w:style>
  <w:style w:type="character" w:customStyle="1" w:styleId="13">
    <w:name w:val="批注框文本 Char"/>
    <w:basedOn w:val="9"/>
    <w:link w:val="5"/>
    <w:semiHidden/>
    <w:qFormat/>
    <w:uiPriority w:val="99"/>
    <w:rPr>
      <w:sz w:val="18"/>
      <w:szCs w:val="18"/>
    </w:rPr>
  </w:style>
  <w:style w:type="character" w:customStyle="1" w:styleId="14">
    <w:name w:val="font31"/>
    <w:basedOn w:val="9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15">
    <w:name w:val="font11"/>
    <w:basedOn w:val="9"/>
    <w:qFormat/>
    <w:uiPriority w:val="0"/>
    <w:rPr>
      <w:rFonts w:ascii="Calibri" w:hAnsi="Calibri" w:cs="Calibri"/>
      <w:color w:val="000000"/>
      <w:sz w:val="18"/>
      <w:szCs w:val="18"/>
      <w:u w:val="none"/>
    </w:rPr>
  </w:style>
  <w:style w:type="character" w:customStyle="1" w:styleId="16">
    <w:name w:val="font21"/>
    <w:basedOn w:val="9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156</Words>
  <Characters>895</Characters>
  <Lines>7</Lines>
  <Paragraphs>2</Paragraphs>
  <TotalTime>1</TotalTime>
  <ScaleCrop>false</ScaleCrop>
  <LinksUpToDate>false</LinksUpToDate>
  <CharactersWithSpaces>1049</CharactersWithSpaces>
  <Application>WPS Office_11.1.0.8888_F1E327BC-269C-435d-A152-05C5408002CA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2017-12-28T09:08:00Z</dcterms:created>
  <dc:creator>黎婵</dc:creator>
  <cp:lastModifiedBy>ming</cp:lastModifiedBy>
  <cp:lastPrinted>2018-01-02T02:24:00Z</cp:lastPrinted>
  <dcterms:modified xsi:type="dcterms:W3CDTF">2020-03-05T02:41:57Z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2052-11.1.0.8888</vt:lpwstr>
  </property>
</Properties>
</file>