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Learning through recall</w:t>
      </w:r>
    </w:p>
    <w:p>
      <w:pPr>
        <w:pStyle w:val="Heading1"/>
      </w:pPr>
      <w:r>
        <w:t xml:space="preserve">Memory</w:t>
      </w:r>
    </w:p>
    <w:p>
      <w:pPr>
        <w:pStyle w:val="Quote"/>
        <w:pBdr>
          <w:left w:val="single" w:sz="18" w:space="8" w:color="FFCC00"/>
        </w:pBdr>
      </w:pPr>
      <w:r>
        <w:t xml:space="preserve">这条先陡后平的曲线，被称为遗忘曲线。</w:t>
      </w:r>
      <w:r>
        <w:rPr>
          <w:rStyle w:val="FootnoteReference"/>
        </w:rPr>
        <w:footnoteReference w:id="1"/>
      </w:r>
    </w:p>
    <w:p>
      <w:pPr>
        <w:pStyle w:val="Normal"/>
        <w:shd w:val="clear" w:fill="FFF3C4"/>
      </w:pPr>
      <w:r>
        <w:t xml:space="preserve">My original note</w:t>
      </w:r>
    </w:p>
    <w:p>
      <w:pPr>
        <w:pStyle w:val="Heading1"/>
      </w:pPr>
      <w:r>
        <w:t xml:space="preserve">出处</w:t>
      </w:r>
    </w:p>
    <w:p>
      <w:pPr>
        <w:pStyle w:val="Normal"/>
      </w:pPr>
      <w:r>
        <w:t xml:space="preserve">《学习的底层逻辑》 p.24</w:t>
      </w:r>
    </w:p>
    <w:sectPr>
      <w:pgSz w:w="11906" w:h="16838"/>
      <w:pgMar w:top="1134" w:right="1134" w:bottom="1134" w:left="1134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footnoteRef/>
      </w:r>
      <w:r>
        <w:t xml:space="preserve"> 《学习的底层逻辑》 p.24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Arial" w:hAnsi="Arial" w:eastAsia="PingFang SC"/>
        <w:sz w:val="22"/>
        <w:lang w:val="en-US" w:eastAsia="zh-CN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pPr>
      <w:keepNext/>
    </w:pPr>
    <w:rPr>
      <w:b/>
      <w:sz w:val="28"/>
    </w:rPr>
  </w:style>
  <w:style w:type="paragraph" w:styleId="Quote">
    <w:name w:val="Quote"/>
    <w:basedOn w:val="Normal"/>
    <w:pPr>
      <w:ind w:left="240" w:right="240"/>
    </w:pPr>
    <w:rPr>
      <w:rFonts w:ascii="Songti SC" w:hAnsi="Songti SC" w:eastAsia="Songti SC"/>
    </w:r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