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"下列「」內的字，讀音前後相同的是：",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"若分「畛」域／悉心問「診」",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"靈「鼉」之鼓／木雕神「龕」",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"莫得「遯」隱／鯨「豚」保育",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"妝「奩」冠鏡／輕「謳」微吟"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"（A）ㄓㄣˇ／ㄓㄣˇ。（B）ㄊㄨㄛˊ／ㄎㄢ。（C）ㄉㄨㄣˋ／ㄊㄨㄣˊ。（D）ㄌㄧㄢˊ／ㄡ。\n",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"形音義"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"id": "2",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"下列文句，完全沒有錯別字的是：",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"戰爭片中，只見硝煙四起，一幕幕喋血山河的畫面，令人怵目驚心",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"合唱團員準備就序，天籟般的歌聲隨琴音揚起，全場立即鴉雀無聲",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"花博開放參觀首日，遊客蜂擁而至，人人磨肩接踵，場面熱鬧非凡",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"即使是浮光略影的人生片段，若能靜心觀照，亦可萃取出生活意義"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"（A）就「緒」。（B）「摩」肩接踵。（C）正確。（D）浮光「掠」影。\n",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"字形字音"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"id": "3",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是一段散文，依據文意，甲、乙、丙、丁、戊排列順序最適當的是：\n我喜歡敘舊。\n甲、在我驚嘆光陰對他們做了這麼多的同時\n乙、自己若是不清楚歲月對自己做了些什麼\n丙、他們也會讓我知道\n丁、只要與久別重逢的舊友一敘便知\n戊、自己在他們的眼中又是如何了（李黎〈別後我城〉）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"丁乙丙甲戊",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"乙丙戊甲丁",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"乙丁甲丙戊",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"丁甲戊乙丙"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首句「我喜歡敘舊」，接（丁）說明敘舊的功能「只要……便知」；（乙）承接上文的「知」，提出假設「若是……」；（丙）回應假設，說明舊友的作用；（甲）描寫互動過程「在我……同時」；（戊）總結互動結果，呼應文意。故順序為丁乙丙甲戊。\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"文意邏輯"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"id": "4",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"下列對聯□內最適合填入的字詞依序是：\n甲、書從疑處□成悟，文到窮時自有神\n乙、除卻詩書□所癖，獨於山水不能廉\n丙、使我開懷□夜月，令人滌省是晨鐘",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"翻／何／惟",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"何／惟／翻",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"何／翻／惟",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"翻／惟／何"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甲：「翻」成悟，表示轉折，意為「反而」或「翻轉」，符合「疑處」到「悟」的過程。乙：「何」所癖，為疑問詞，與下聯「獨於……」形成對比（除了書還有什麼癖好？只有山水）。丙：「惟」夜月，表示「只有」，對應下聯「令人滌省是晨鐘」的肯定語氣。\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"國學常識"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"id": "5",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"若孫悟空完成取經任務後回到花果山，想聯絡師父唐三藏和其他幾位師弟，下列敘述最適當的是︰",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"邀豬八戒餐敘的柬帖，可寫「敬備菲酌，恭候台光」",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"向唐三藏問安的書信，開頭提稱語可用「如晤」",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"祝賀沙悟淨生日的卡片，內文署名宜用「兄悟空惠鑒」",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"給白龍馬的明信片，寄件人住址之後宜寫「孫悟空緘」"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（A）「如晤」用於平輩或晚輩，對師父應包含敬意（如道鑒）。（B）正確，「菲酌」為自謙，「台光」為敬辭。（C）「惠鑒」是提稱語（用於信件開頭稱呼對方），不應置於署名處。（D）明信片無信封，不用「緘」（封口）。\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"應用文"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"id": "6",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"現代詩中的景物常隱含另一層意蘊，下列敘述最不適當的是：",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"〈再別康橋〉中「我揮一揮衣袖／不帶走一片雲彩」，「雲彩」象徵詩人的漂泊不定",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"〈狼之獨步〉中，詩人以「我乃曠野裡獨來獨往的一匹狼」表現其特立獨行",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"〈錯誤〉中「恰若青石的街道向晚」，「向晚」除了實寫，也隱含一日將盡，歸人卻仍未歸來的失落",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"〈雁〉中「我們仍然活著。仍然要飛行／在無邊際的天空」，以排成「人」字的雁群不斷飛行，象徵人的某種堅持"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"徐志摩〈再別康橋〉中的「不帶走一片雲彩」象徵詩人瀟灑離去、不願破壞康橋之美的情懷，並非象徵「漂泊不定」。\n",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"現代詩"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"id": "7",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最符合作者「自己一個人唱歌」的敘述是：\n一個人唱歌，可真奇怪。有時是下意識，自己竟不知不覺地唱起歌來，當發現自己不停地哼唱著喜歡的那一支歌的時候，也不知已唱了多久，之後不但沒停，還把歌詞一個字、一個字咬得清清楚楚。這樣無我地唱歌，起先是旋律讓他飄飄然，意識清醒後就被歌詞感動。……這種情形往往發生在一個人心情愉快時……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"無我地哼唱時，往往一開始會不自覺沉浸在旋律中",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"心情愉悅時，便會咬字清楚地哼唱出喜歡的歌詞來",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"四下無人之時，才能在無意識之中清楚地唱出歌詞",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"意識清楚之時，喜歡用「啊」字一次次地重複哼唱"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提到「起先是旋律讓他飄飄然，意識清醒後就被歌詞感動」，符合選項描述。（A）順序有誤，是先無意識哼唱，發現後才咬字清楚。（B）文中說「特別是別無他人在旁」，並非「才能」。（D）用「啊」字哼唱是「有時」的情形，未必與意識清楚有絕對關聯。\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"閱讀理解"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"id": "8",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最符合「康德看法」的敘述是：\n有人天生熱愛助人……康德卻認為，出於慈悲心的行善，不論如何正確或如何溫柔敦厚，都沒有道德價值。……康德堅持，只有視為義務的動機才具道德價值，助人為快樂之本的慈悲心是值得稱讚和鼓勵，卻不值得尊敬。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"值得尊敬的行善動機是出於義務",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"助人為樂涵具道德價值",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"只要行善助人就具有道德價值",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"出於慈悲心的行善不值得鼓勵"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"文中明確指出康德認為「只有視為義務的動機才具道德價值……助人為快樂之本的慈悲心……不值得尊敬」，故選此項。\n",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"閱讀理解"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"id": "9",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"依據下文，□□內最適合填入的詞語依序是：\n甲、因聞得鹽政欲聘一□□，雨村便相托友力，謀了進去，且作安身之計。（《紅樓夢》第2 回）\n乙、空著我埋怨爹娘，選揀□□，相貌堂堂，自一夜花燭洞房，怎提防這一場。（元雜劇《秋胡戲妻》）\n丙、周公行政七年，成王長，周公反政成王，□□就群臣之位。（《史記‧周本紀》）",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"西賓／東床／北面",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"西賓／西席／南面",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"東道／東床／南面",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"東道／西席／北面"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"甲：「西賓」指家庭教師（賈雨村謀職）。乙：「東床」指女婿（王羲之坦腹東床典故）。丙：「北面」指臣子拜見君王的方向（君王南面而治，臣子北面稱臣）。\n",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"成語典故"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"id": "10",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"依據下文，最符合主旨的是：\n人生而有欲，欲而不得，則不能無求。求而無度量分界，則不能不爭；爭則亂，亂則窮。先王惡其亂也，故制禮義以分之，以養人之欲，給人之求。（《荀子》）",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"禮源於治亂",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"王道無偏",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"無欲則治",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"爭起於分界"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"文中提到「先王惡其亂也，故制禮義以分之」，說明制定「禮」是為了治理因慾望無度而產生的混亂。\n",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"諸子百家"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"id": "11",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"某秀才參加鄉試，題目出自「四書」。他在文中闡釋題意：「人不能不與世為酬酢，言色恭行焉。情之不可已，本自有當然之則也。乃巧好為言，容悅為色，周旋舉止，悉邪為之。」則試卷題目最可能是：",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"巧言令色足恭",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"色厲而內荏",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"一言可以興邦",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"名不正則言不順"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"文中「巧好為言，容悅為色」對應《論語》中的「巧言令色」；「周旋舉止，悉邪為之」對應「足恭」（過度恭敬，實為虛偽）。這段文字是在批評虛偽的言行與過度的恭敬。\n",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"四書"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"id": "12",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"difficulty": "Medium",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下文陶、馬二人的對話，敘述最適當的是：\n陶一日謂馬曰：「君家固不豐，僕日以口腹累知交，胡可為常？為今計，賣菊亦足謀生。」馬素介，聞陶言，甚鄙之，曰：「僕以君風流高士，當能安貧。今作是論，則以東籬為市井，有辱黃花矣。」陶笑曰：「自食其力不為貪，販花為業不為俗。人固不可苟求富，然亦不必務求貧也。」（《聊齋誌異‧黃英》）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"陶與馬商議賣菊維生",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"陶以馬未能安貧為恥",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"馬希望陶能自食其力",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"馬怕家貧而有辱於陶"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文中陶建議賣菊謀生，馬反對，兩人針對此議題進行對話與觀念交流，故選「商議賣菊維生」最符合事實描述。（A）陶是笑著開導，非以之為恥。（B）馬反對賣菊，認為應「安貧」。（D）馬認為賣菊是辱沒了菊花（黃花），非辱沒陶。\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"文言文閱讀"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"id": "13",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"difficulty": "Hard",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"q": "關於詩中石蒼舒之「病」，敘述最適當的是：\n……我嘗好之每自笑，君有此病何能瘳。自言其中有至樂，適意無異逍遙遊。近者作堂名醉墨，如飲美酒消百憂。乃知柳子語不妄，病嗜土炭如珍羞。（節錄自蘇軾〈石蒼舒醉墨堂〉）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"correct": "蘇軾消遣石蒼舒病重難癒，意在稱美其癡迷書藝而能逍遙自樂",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"wrong": 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"石蒼舒醉心翰墨成疾仍不改其樂，蘇軾擔心他過度沉迷而招禍",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"石蒼舒嗜書與柳子嗜土炭如珍饈之病，蘇軾認為皆蘊不遇之憾",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"蘇軾好書藝而與石蒼舒同病，但自慚不及石神速，故開卷惝怳"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"exp": "蘇軾以「病」喻嗜好，表面調侃（消遣），實則讚賞石蒼舒沉浸書法之樂（適意無異逍遙遊、如飲美酒消百憂）。\n",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"subject": "古典詩詞"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