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7: The Two Laws</w:t>
      </w:r>
    </w:p>
    <w:p>
      <w:pPr>
        <w:pStyle w:val="Heading3"/>
      </w:pPr>
      <w:r>
        <w:t xml:space="preserve">Chapter Overview</w:t>
      </w:r>
    </w:p>
    <w:p>
      <w:pPr>
        <w:pStyle w:val="BodyText"/>
      </w:pPr>
      <w:r>
        <w:t xml:space="preserve">Chapter 7 explains the inner conflict between the law of sin and death and the law of the Spirit of life. It helps the learner interpret struggle more accurately, distinguish flesh from Spirit, understand the weight of daily choices, and walk in obedience under grace.</w:t>
      </w:r>
    </w:p>
    <w:p>
      <w:pPr>
        <w:pStyle w:val="BodyText"/>
      </w:pPr>
      <w:r>
        <w:t xml:space="preserve">The goal of this chapter is to give the learner a clearer framework for understanding why conflict exists, how obedience becomes practical, and how God's grace sustains recovery without compromise.</w:t>
      </w:r>
    </w:p>
    <w:p>
      <w:pPr>
        <w:pStyle w:val="Heading1"/>
      </w:pPr>
      <w:r>
        <w:t xml:space="preserve">Chapter Lessons</w:t>
      </w:r>
    </w:p>
    <w:p>
      <w:pPr>
        <w:pStyle w:val="BodyText"/>
      </w:pPr>
      <w:r>
        <w:t xml:space="preserve">- Lesson 1: The Law of Sin and Death</w:t>
      </w:r>
    </w:p>
    <w:p>
      <w:pPr>
        <w:pStyle w:val="BodyText"/>
      </w:pPr>
      <w:r>
        <w:t xml:space="preserve">- Lesson 2: The Law of the Spirit of Life</w:t>
      </w:r>
    </w:p>
    <w:p>
      <w:pPr>
        <w:pStyle w:val="BodyText"/>
      </w:pPr>
      <w:r>
        <w:t xml:space="preserve">- Lesson 3: The Inner Conflict</w:t>
      </w:r>
    </w:p>
    <w:p>
      <w:pPr>
        <w:pStyle w:val="BodyText"/>
      </w:pPr>
      <w:r>
        <w:t xml:space="preserve">- Lesson 4: Flesh Versus Spirit</w:t>
      </w:r>
    </w:p>
    <w:p>
      <w:pPr>
        <w:pStyle w:val="BodyText"/>
      </w:pPr>
      <w:r>
        <w:t xml:space="preserve">- Lesson 5: Daily Choices and Consequences</w:t>
      </w:r>
    </w:p>
    <w:p>
      <w:pPr>
        <w:pStyle w:val="BodyText"/>
      </w:pPr>
      <w:r>
        <w:t xml:space="preserve">- Lesson 6: Walking in Obedience</w:t>
      </w:r>
    </w:p>
    <w:p>
      <w:pPr>
        <w:pStyle w:val="BodyText"/>
      </w:pPr>
      <w:r>
        <w:t xml:space="preserve">- Lesson 7: Living Under God's Grace</w:t>
      </w:r>
    </w:p>
    <w:p>
      <w:pPr>
        <w:pStyle w:val="Heading1"/>
      </w:pPr>
      <w:r>
        <w:t xml:space="preserve">What The Learner Will Practice</w:t>
      </w:r>
    </w:p>
    <w:p>
      <w:pPr>
        <w:pStyle w:val="BodyText"/>
      </w:pPr>
      <w:r>
        <w:t xml:space="preserve">- Identifying recurring destructive patterns honestly</w:t>
      </w:r>
    </w:p>
    <w:p>
      <w:pPr>
        <w:pStyle w:val="BodyText"/>
      </w:pPr>
      <w:r>
        <w:t xml:space="preserve">- Recognizing the difference between old pull and new life</w:t>
      </w:r>
    </w:p>
    <w:p>
      <w:pPr>
        <w:pStyle w:val="BodyText"/>
      </w:pPr>
      <w:r>
        <w:t xml:space="preserve">- Interpreting inner conflict without panic or denial</w:t>
      </w:r>
    </w:p>
    <w:p>
      <w:pPr>
        <w:pStyle w:val="BodyText"/>
      </w:pPr>
      <w:r>
        <w:t xml:space="preserve">- Testing impulses by their source and direction</w:t>
      </w:r>
    </w:p>
    <w:p>
      <w:pPr>
        <w:pStyle w:val="BodyText"/>
      </w:pPr>
      <w:r>
        <w:t xml:space="preserve">- Walking in truth, obedience, and grace together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