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7: The Two Laws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7 explains the inner conflict between the law of sin and death and the law of the Spirit of life. It helps the learner interpret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struggle more accurately, distinguish flesh from Spirit, understand the weight of daily choices, and walk in obedience under grace.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give the learner a clearer framework for understanding why conflict exists, how obedience becomes practical, and how God's grace sustains recovery without compromise.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1: The Law of Sin and Death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2: The Law of the Spirit of Life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3: The Inner Conflict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4: Flesh Versus Spirit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5: Daily Choices and Consequences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6: Walking in Obedience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7: Living Under God's Grace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Identifying recurring destructive patterns honestly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Recognizing the difference between old pull and new life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Interpreting inner conflict without panic or denial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Testing impulses by their source and direction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Walking in truth, obedience, and grace together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xPNZyXrperYI7Xg+0JjwQpBKg==">CgMxLjA4AHIhMXZqZFVjeFBCUVVMQVQ0d19GMVdQV21qXzBkRE5QSTV1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