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_c6d987e49cbbac50b0385cb4e38737d8ed2a9e5"/>
    <w:bookmarkEnd w:id="9"/>
    <w:bookmarkStart w:id="81" w:name="_摘要"/>
    <w:p>
      <w:pPr>
        <w:pStyle w:val="CoverTitle"/>
      </w:pPr>
      <w:r>
        <w:t xml:space="preserve">AIHub——多租户通用 AI 能力中台</w:t>
      </w:r>
    </w:p>
    <w:p>
      <w:pPr>
        <w:pStyle w:val="CoverSub"/>
      </w:pPr>
    </w:p>
    <w:p>
      <w:pPr>
        <w:pStyle w:val="CoverSub"/>
      </w:pPr>
      <w:r>
        <w:t xml:space="preserve">竞赛作品报告</w:t>
      </w:r>
    </w:p>
    <w:p>
      <w:pPr>
        <w:pStyle w:val="CoverMeta"/>
      </w:pPr>
    </w:p>
    <w:p>
      <w:pPr>
        <w:pStyle w:val="CoverMeta"/>
      </w:pPr>
    </w:p>
    <w:p>
      <w:pPr>
        <w:pStyle w:val="CoverFoot"/>
        <w:sectPr>
          <w:headerReference w:type="default" r:id="rId13"/>
          <w:footerReference w:type="default" r:id="rId14"/>
          <w:type w:val="nextPage"/>
          <w:pgSz w:w="11906" w:h="16838"/>
          <w:pgMar w:top="1440" w:right="1803" w:bottom="1440" w:left="1803" w:header="851" w:footer="992" w:gutter="0"/>
          <w:cols w:space="425"/>
        </w:sectPr>
      </w:pPr>
      <w:r>
        <w:t xml:space="preserve">2026 年 10 月</w:t>
      </w:r>
    </w:p>
    <w:p>
      <w:pPr>
        <w:pStyle w:val="TOCHead"/>
      </w:pPr>
      <w:r>
        <w:t xml:space="preserve">目　录</w:t>
      </w:r>
    </w:p>
    <w:p>
      <w:pPr>
        <w:pStyle w:val="TOCField"/>
        <w:sectPr>
          <w:headerReference w:type="default" r:id="rId11"/>
          <w:footerReference w:type="default" r:id="rId12"/>
          <w:type w:val="nextPage"/>
          <w:pgSz w:w="11906" w:h="16838"/>
          <w:pgMar w:top="1440" w:right="1803" w:bottom="1440" w:left="1803" w:header="851" w:footer="992" w:gutter="0"/>
          <w:pgNumType w:fmt="upperRoman" w:start="1"/>
          <w:cols w:space="425"/>
        </w:sect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（打开文档后按 Ctrl+A 再按 F9 更新目录）</w:t>
      </w:r>
      <w:r>
        <w:fldChar w:fldCharType="end"/>
      </w:r>
    </w:p>
    <w:p>
      <w:pPr>
        <w:pStyle w:val="2"/>
      </w:pPr>
      <w:r>
        <w:rPr/>
        <w:t xml:space="preserve">摘要</w:t>
      </w:r>
    </w:p>
    <w:p>
      <w:pPr>
        <w:pStyle w:val="1"/>
      </w:pPr>
      <w:r>
        <w:rPr/>
        <w:t xml:space="preserve">随着大模型技术进入规模化落地阶段，各类业务系统接入人工智能（AI）能力的需求爆发式增长，但中小企业与开发团队普遍面临模型绑定、重复造轮子、成本失控与安全合规四重困境。本作品面向这一现状，设计并实现了</w:t>
      </w:r>
      <w:r>
        <w:t xml:space="preserve"> </w:t>
      </w:r>
      <w:r>
        <w:rPr/>
        <w:t xml:space="preserve">AIHub——一个多租户的通用</w:t>
      </w:r>
      <w:r>
        <w:t xml:space="preserve"> AI </w:t>
      </w:r>
      <w:r>
        <w:rPr/>
        <w:t xml:space="preserve">能力中台。平台自身不绑定任何垂直业务，而是将大模型能力（对话、检索增强生成、工具调用、智能体）抽象为可配置、可编排、可计量、可观测的平台能力，对外以开放</w:t>
      </w:r>
      <w:r>
        <w:t xml:space="preserve"> HTTP </w:t>
      </w:r>
      <w:r>
        <w:rPr/>
        <w:t xml:space="preserve">接口与管理控制台两种形态交付，业务方通过配置一个”应用（助手）</w:t>
      </w:r>
      <w:r>
        <w:rPr/>
        <w:t xml:space="preserve">“即可组装出所需</w:t>
      </w:r>
      <w:r>
        <w:t xml:space="preserve"> AI </w:t>
      </w:r>
      <w:r>
        <w:rPr/>
        <w:t xml:space="preserve">能力，实现”</w:t>
      </w:r>
      <w:r>
        <w:rPr/>
        <w:t xml:space="preserve">模型可换、知识可插、工具可注册、Agent</w:t>
      </w:r>
      <w:r>
        <w:t xml:space="preserve"> </w:t>
      </w:r>
      <w:r>
        <w:rPr/>
        <w:t xml:space="preserve">可编排、一切可按租户计量与审计”的设计目标。</w:t>
      </w:r>
    </w:p>
    <w:p>
      <w:pPr>
        <w:pStyle w:val="1"/>
      </w:pPr>
      <w:r>
        <w:rPr/>
        <w:t xml:space="preserve">平台后端采用</w:t>
      </w:r>
      <w:r>
        <w:t xml:space="preserve"> Java 17、Spring Boot 3.5、Spring Cloud 2025 </w:t>
      </w:r>
      <w:r>
        <w:rPr/>
        <w:t xml:space="preserve">与</w:t>
      </w:r>
      <w:r>
        <w:t xml:space="preserve"> Spring AI 1.1 </w:t>
      </w:r>
      <w:r>
        <w:rPr/>
        <w:t xml:space="preserve">构建微服务架构，前端采用</w:t>
      </w:r>
      <w:r>
        <w:t xml:space="preserve"> uni-app </w:t>
      </w:r>
      <w:r>
        <w:rPr/>
        <w:t xml:space="preserve">与</w:t>
      </w:r>
      <w:r>
        <w:t xml:space="preserve"> Vue 3 </w:t>
      </w:r>
      <w:r>
        <w:rPr/>
        <w:t xml:space="preserve">实现一套代码同时交付</w:t>
      </w:r>
      <w:r>
        <w:t xml:space="preserve"> H5 </w:t>
      </w:r>
      <w:r>
        <w:rPr/>
        <w:t xml:space="preserve">与微信小程序双端，并配套基于</w:t>
      </w:r>
      <w:r>
        <w:t xml:space="preserve"> Element Plus </w:t>
      </w:r>
      <w:r>
        <w:rPr/>
        <w:t xml:space="preserve">的桌面级管理控制台。作品的核心创新点包括：（1）多租户安全隔离四道防线，将”租户优先”原则从口头约定升级为框架级强制；（2）一套前端适配三通道的流式交互体系，统一事件帧协议覆盖</w:t>
      </w:r>
      <w:r>
        <w:t xml:space="preserve"> SSE、NDJSON </w:t>
      </w:r>
      <w:r>
        <w:rPr/>
        <w:t xml:space="preserve">与</w:t>
      </w:r>
      <w:r>
        <w:t xml:space="preserve"> </w:t>
      </w:r>
      <w:r>
        <w:rPr/>
        <w:t xml:space="preserve">WebSocket，实现逐帧到达的打字机体验；（3）模型可插拔与云端本地混跑架构，新增模型供应商仅需新增一个实现类与一条数据库配置，支持场景选模、主备自动降级与前端实时切换，云端模型与本地</w:t>
      </w:r>
      <w:r>
        <w:t xml:space="preserve"> Ollama </w:t>
      </w:r>
      <w:r>
        <w:rPr/>
        <w:t xml:space="preserve">模型可混合编排；（4）检索增强生成（RAG）全链路与</w:t>
      </w:r>
      <w:r>
        <w:t xml:space="preserve"> Agent </w:t>
      </w:r>
      <w:r>
        <w:rPr/>
        <w:t xml:space="preserve">编排内核，配合模型上下文协议（MCP）双向集成——平台已实际接入文件系统、结构化推理、网页抓取三个开源</w:t>
      </w:r>
      <w:r>
        <w:t xml:space="preserve"> MCP </w:t>
      </w:r>
      <w:r>
        <w:rPr/>
        <w:t xml:space="preserve">服务器，既能消费外部工具生态，也能把平台自身能力开放给第三方</w:t>
      </w:r>
      <w:r>
        <w:t xml:space="preserve"> AI </w:t>
      </w:r>
      <w:r>
        <w:rPr/>
        <w:t xml:space="preserve">应用；（5）租户级完整权限管理体系（RBAC），覆盖菜单、页面与按钮三级粒度，支持企业自助注册开通。</w:t>
      </w:r>
    </w:p>
    <w:p>
      <w:pPr>
        <w:pStyle w:val="1"/>
      </w:pPr>
      <w:r>
        <w:rPr/>
        <w:t xml:space="preserve">作品完成了六个里程碑的全部功能开发与端到端验证，模型网关、应用编排、知识库</w:t>
      </w:r>
      <w:r>
        <w:t xml:space="preserve"> </w:t>
      </w:r>
      <w:r>
        <w:rPr/>
        <w:t xml:space="preserve">RAG、工具中心、MCP</w:t>
      </w:r>
      <w:r>
        <w:t xml:space="preserve"> </w:t>
      </w:r>
      <w:r>
        <w:rPr/>
        <w:t xml:space="preserve">双向、Agent</w:t>
      </w:r>
      <w:r>
        <w:t xml:space="preserve"> </w:t>
      </w:r>
      <w:r>
        <w:rPr/>
        <w:t xml:space="preserve">编排、会话记忆、产物管理、安全护栏、可观测与成本、多租户与配额、权限管理等核心能力域均已落地并实际运行，云端商业模型与本地开源模型的混合部署已通过真实调用验证，具备从课堂作品走向生产环境的工程完整度。</w:t>
      </w:r>
    </w:p>
    <w:p>
      <w:pPr>
        <w:pStyle w:val="1"/>
      </w:pPr>
      <w:r>
        <w:rPr/>
        <w:t xml:space="preserve">关键词：AI</w:t>
      </w:r>
      <w:r>
        <w:t xml:space="preserve"> </w:t>
      </w:r>
      <w:r>
        <w:rPr/>
        <w:t xml:space="preserve">中台；多租户；检索增强生成（RAG）；智能体（Agent）；模型上下文协议（MCP）；权限管理（RBAC）；流式交互</w:t>
      </w:r>
    </w:p>
    <w:bookmarkStart w:id="13" w:name="_0de2de06c22a7b34b5117955dc30e767e7aad7b"/>
    <w:p>
      <w:pPr>
        <w:pStyle w:val="3"/>
      </w:pPr>
      <w:r>
        <w:rPr/>
        <w:t xml:space="preserve">第一章</w:t>
      </w:r>
      <w:r>
        <w:t xml:space="preserve"> </w:t>
      </w:r>
      <w:r>
        <w:rPr/>
        <w:t xml:space="preserve">背景与创意</w:t>
      </w:r>
    </w:p>
    <w:bookmarkStart w:id="10" w:name="_政策背景人工智能上升为国家战略"/>
    <w:p>
      <w:pPr>
        <w:pStyle w:val="4"/>
      </w:pPr>
      <w:r>
        <w:t xml:space="preserve">1.1 </w:t>
      </w:r>
      <w:r>
        <w:rPr/>
        <w:t xml:space="preserve">政策背景：人工智能上升为国家战略</w:t>
      </w:r>
    </w:p>
    <w:p>
      <w:pPr>
        <w:pStyle w:val="1"/>
      </w:pPr>
      <w:r>
        <w:rPr/>
        <w:t xml:space="preserve">人工智能是引领新一轮科技革命和产业变革的战略性技术。2017</w:t>
      </w:r>
      <w:r>
        <w:t xml:space="preserve"> </w:t>
      </w:r>
      <w:r>
        <w:rPr/>
        <w:t xml:space="preserve">年，国务院印发《新一代人工智能发展规划》，提出到</w:t>
      </w:r>
      <w:r>
        <w:t xml:space="preserve"> 2030 </w:t>
      </w:r>
      <w:r>
        <w:rPr/>
        <w:t xml:space="preserve">年使我国成为世界主要人工智能创新中心的战略目标。2025</w:t>
      </w:r>
      <w:r>
        <w:t xml:space="preserve"> </w:t>
      </w:r>
      <w:r>
        <w:rPr/>
        <w:t xml:space="preserve">年</w:t>
      </w:r>
      <w:r>
        <w:t xml:space="preserve"> 8 </w:t>
      </w:r>
      <w:r>
        <w:rPr/>
        <w:t xml:space="preserve">月，国务院进一步印发《关于深入实施”人工智能+</w:t>
      </w:r>
      <w:r>
        <w:rPr/>
        <w:t xml:space="preserve">“行动的意见》，部署”</w:t>
      </w:r>
      <w:r>
        <w:rPr/>
        <w:t xml:space="preserve">人工智能+“科学技术、产业发展、消费提质、民生福祉、治理能力、全球合作六大重点行动，并明确量化目标：到</w:t>
      </w:r>
      <w:r>
        <w:t xml:space="preserve"> 2027 </w:t>
      </w:r>
      <w:r>
        <w:rPr/>
        <w:t xml:space="preserve">年，新一代智能终端、智能体等应用普及率超</w:t>
      </w:r>
      <w:r>
        <w:t xml:space="preserve"> </w:t>
      </w:r>
      <w:r>
        <w:rPr/>
        <w:t xml:space="preserve">70%；到</w:t>
      </w:r>
      <w:r>
        <w:t xml:space="preserve"> 2030 </w:t>
      </w:r>
      <w:r>
        <w:rPr/>
        <w:t xml:space="preserve">年，应用普及率超</w:t>
      </w:r>
      <w:r>
        <w:t xml:space="preserve"> </w:t>
      </w:r>
      <w:r>
        <w:rPr/>
        <w:t xml:space="preserve">90%，智能经济成为我国经济发展的重要增长极。</w:t>
      </w:r>
    </w:p>
    <w:p>
      <w:pPr>
        <w:pStyle w:val="1"/>
      </w:pPr>
      <w:r>
        <w:rPr/>
        <w:t xml:space="preserve">产业侧的数据同样印证了这一趋势。据工业和信息化部在国务院新闻办公室发布会上介绍，2025</w:t>
      </w:r>
      <w:r>
        <w:t xml:space="preserve"> </w:t>
      </w:r>
      <w:r>
        <w:rPr/>
        <w:t xml:space="preserve">年我国人工智能企业数量超过</w:t>
      </w:r>
      <w:r>
        <w:t xml:space="preserve"> 6000 </w:t>
      </w:r>
      <w:r>
        <w:rPr/>
        <w:t xml:space="preserve">家，核心产业规模预计突破</w:t>
      </w:r>
      <w:r>
        <w:t xml:space="preserve"> 1.2 </w:t>
      </w:r>
      <w:r>
        <w:rPr/>
        <w:t xml:space="preserve">万亿元，智能算力规模达</w:t>
      </w:r>
      <w:r>
        <w:t xml:space="preserve"> 1590 </w:t>
      </w:r>
      <w:r>
        <w:rPr/>
        <w:t xml:space="preserve">EFLOPS；据中国信息通信研究院测算，2024</w:t>
      </w:r>
      <w:r>
        <w:t xml:space="preserve"> </w:t>
      </w:r>
      <w:r>
        <w:rPr/>
        <w:t xml:space="preserve">年我国人工智能核心产业规模已突破</w:t>
      </w:r>
      <w:r>
        <w:t xml:space="preserve"> 9000 </w:t>
      </w:r>
      <w:r>
        <w:rPr/>
        <w:t xml:space="preserve">亿元，同比增长</w:t>
      </w:r>
      <w:r>
        <w:t xml:space="preserve"> </w:t>
      </w:r>
      <w:r>
        <w:rPr/>
        <w:t xml:space="preserve">24%，呈加速增长态势。与此同时，我国生成式人工智能用户规模已超过</w:t>
      </w:r>
      <w:r>
        <w:t xml:space="preserve"> 6 </w:t>
      </w:r>
      <w:r>
        <w:rPr/>
        <w:t xml:space="preserve">亿人。政策供给与产业增长的双轮驱动，意味着”人工智能+“正从概念走向千行百业的具体应用，而应用落地的第一道门槛，就是如何便捷、安全、低成本地把大模型能力接入业务系统。</w:t>
      </w:r>
    </w:p>
    <w:bookmarkEnd w:id="10"/>
    <w:bookmarkStart w:id="11" w:name="_79359b52133bc7a9c3c650526705a7c22fa589a"/>
    <w:p>
      <w:pPr>
        <w:pStyle w:val="4"/>
      </w:pPr>
      <w:r>
        <w:t xml:space="preserve">1.2 </w:t>
      </w:r>
      <w:r>
        <w:rPr/>
        <w:t xml:space="preserve">行业痛点：AI</w:t>
      </w:r>
      <w:r>
        <w:t xml:space="preserve"> </w:t>
      </w:r>
      <w:r>
        <w:rPr/>
        <w:t xml:space="preserve">能力接入的”最后一公里”</w:t>
      </w:r>
    </w:p>
    <w:p>
      <w:pPr>
        <w:pStyle w:val="1"/>
      </w:pPr>
      <w:r>
        <w:rPr/>
        <w:t xml:space="preserve">在调研与开发实践中，我们观察到业务系统接入大模型能力普遍存在以下五类痛点。</w:t>
      </w:r>
    </w:p>
    <w:p>
      <w:pPr>
        <w:pStyle w:val="1"/>
      </w:pPr>
      <w:r>
        <w:rPr/>
        <w:t xml:space="preserve">其一，</w:t>
      </w:r>
      <w:r>
        <w:rPr/>
        <w:t xml:space="preserve">模型绑定</w:t>
      </w:r>
      <w:r>
        <w:rPr/>
        <w:t xml:space="preserve">。许多项目将特定厂商的软件开发工具包（SDK）或接口硬编码进业务代码，一旦需要更换模型供应商（成本、合规、效果变化均可能触发更换），就要付出高昂的改造成本。</w:t>
      </w:r>
    </w:p>
    <w:p>
      <w:pPr>
        <w:pStyle w:val="1"/>
      </w:pPr>
      <w:r>
        <w:rPr/>
        <w:t xml:space="preserve">其二，</w:t>
      </w:r>
      <w:r>
        <w:rPr/>
        <w:t xml:space="preserve">重复造轮子</w:t>
      </w:r>
      <w:r>
        <w:rPr/>
        <w:t xml:space="preserve">。对话流式输出、会话记忆、文档解析、向量检索、引用溯源等能力在各项目中高度同质，却往往每个团队都从零实现一遍，质量参差不齐。</w:t>
      </w:r>
    </w:p>
    <w:p>
      <w:pPr>
        <w:pStyle w:val="1"/>
      </w:pPr>
      <w:r>
        <w:rPr/>
        <w:t xml:space="preserve">其三，</w:t>
      </w:r>
      <w:r>
        <w:rPr/>
        <w:t xml:space="preserve">成本失控</w:t>
      </w:r>
      <w:r>
        <w:rPr/>
        <w:t xml:space="preserve">。大模型调用按令牌（Token）计费，缺乏统一的用量统计、配额管控与降级策略时，一次线上事故或一句恶意刷量就可能造成显著经济损失。</w:t>
      </w:r>
    </w:p>
    <w:p>
      <w:pPr>
        <w:pStyle w:val="1"/>
      </w:pPr>
      <w:r>
        <w:rPr/>
        <w:t xml:space="preserve">其四，</w:t>
      </w:r>
      <w:r>
        <w:rPr/>
        <w:t xml:space="preserve">安全与合规风险</w:t>
      </w:r>
      <w:r>
        <w:rPr/>
        <w:t xml:space="preserve">。多客户共用一套</w:t>
      </w:r>
      <w:r>
        <w:t xml:space="preserve"> AI </w:t>
      </w:r>
      <w:r>
        <w:rPr/>
        <w:t xml:space="preserve">系统时，知识库串库、密钥明文落库、越权访问等隐患直接触及数据安全红线；而自研团队普遍缺乏系统性的隔离设计经验。</w:t>
      </w:r>
    </w:p>
    <w:p>
      <w:pPr>
        <w:pStyle w:val="1"/>
      </w:pPr>
      <w:r>
        <w:rPr/>
        <w:t xml:space="preserve">其五，</w:t>
      </w:r>
      <w:r>
        <w:rPr/>
        <w:t xml:space="preserve">权限治理缺位</w:t>
      </w:r>
      <w:r>
        <w:rPr/>
        <w:t xml:space="preserve">。多数</w:t>
      </w:r>
      <w:r>
        <w:t xml:space="preserve"> AI </w:t>
      </w:r>
      <w:r>
        <w:rPr/>
        <w:t xml:space="preserve">演示项目只有”能登录”没有”能治理”——谁可以配置模型、谁可以查看用量、谁可以管理用户，缺乏细粒度的权限体系，难以满足企业级交付要求。</w:t>
      </w:r>
    </w:p>
    <w:bookmarkEnd w:id="11"/>
    <w:bookmarkStart w:id="12" w:name="_feea4c598f99281ed4377cdae9d52b800e8a02e"/>
    <w:p>
      <w:pPr>
        <w:pStyle w:val="4"/>
      </w:pPr>
      <w:r>
        <w:t xml:space="preserve">1.3 </w:t>
      </w:r>
      <w:r>
        <w:rPr/>
        <w:t xml:space="preserve">创意定位：让</w:t>
      </w:r>
      <w:r>
        <w:t xml:space="preserve"> AI </w:t>
      </w:r>
      <w:r>
        <w:rPr/>
        <w:t xml:space="preserve">能力像水电一样即取即用</w:t>
      </w:r>
    </w:p>
    <w:p>
      <w:pPr>
        <w:pStyle w:val="1"/>
      </w:pPr>
      <w:r>
        <w:rPr/>
        <w:t xml:space="preserve">针对上述痛点，本作品提出”通用</w:t>
      </w:r>
      <w:r>
        <w:t xml:space="preserve"> AI </w:t>
      </w:r>
      <w:r>
        <w:rPr/>
        <w:t xml:space="preserve">能力中台”的解决思路：将大模型相关的基础能力从业务系统中沉淀出来，建设一个独立的多租户平台，统一负责模型接入、知识管理、工具注册、智能体编排、权限治理与计量计费。业务方不再直接对接模型厂商，而是作为平台的消费者，通过配置一个”应用（助手）“——指定系统提示词、模型、知识库、工具集与</w:t>
      </w:r>
      <w:r>
        <w:t xml:space="preserve"> Agent </w:t>
      </w:r>
      <w:r>
        <w:rPr/>
        <w:t xml:space="preserve">策略——即可组装出所需的</w:t>
      </w:r>
      <w:r>
        <w:t xml:space="preserve"> AI </w:t>
      </w:r>
      <w:r>
        <w:rPr/>
        <w:t xml:space="preserve">能力，如同用水用电一样即取即用。</w:t>
      </w:r>
    </w:p>
    <w:p>
      <w:pPr>
        <w:pStyle w:val="1"/>
      </w:pPr>
      <w:r>
        <w:rPr/>
        <w:t xml:space="preserve">一句话概括本作品的分层设计目标：</w:t>
      </w:r>
      <w:r>
        <w:rPr/>
        <w:t xml:space="preserve">模型可换、知识可插、工具可注册、Agent</w:t>
      </w:r>
      <w:r>
        <w:rPr/>
        <w:t xml:space="preserve"> </w:t>
      </w:r>
      <w:r>
        <w:rPr/>
        <w:t xml:space="preserve">可编排、权限可治理、一切可按租户计量与审计。</w:t>
      </w:r>
      <w:r>
        <w:t xml:space="preserve"> </w:t>
      </w:r>
      <w:r>
        <w:rPr/>
        <w:t xml:space="preserve">平台自身不绑定任何垂直业务，教育、政务、企业知识管理等场景均可通过配置接入，这正是作品通用性的立足点。</w:t>
      </w:r>
    </w:p>
    <w:bookmarkEnd w:id="12"/>
    <w:bookmarkEnd w:id="13"/>
    <w:bookmarkStart w:id="17" w:name="_91cd05e925ea4f6898b517ea3bb20cccba6b53f"/>
    <w:p>
      <w:pPr>
        <w:pStyle w:val="3"/>
      </w:pPr>
      <w:r>
        <w:rPr/>
        <w:t xml:space="preserve">第二章</w:t>
      </w:r>
      <w:r>
        <w:t xml:space="preserve"> </w:t>
      </w:r>
      <w:r>
        <w:rPr/>
        <w:t xml:space="preserve">问题分析</w:t>
      </w:r>
    </w:p>
    <w:bookmarkStart w:id="14" w:name="_现有接入路径的对比分析"/>
    <w:p>
      <w:pPr>
        <w:pStyle w:val="4"/>
      </w:pPr>
      <w:r>
        <w:t xml:space="preserve">2.1 </w:t>
      </w:r>
      <w:r>
        <w:rPr/>
        <w:t xml:space="preserve">现有接入路径的对比分析</w:t>
      </w:r>
    </w:p>
    <w:p>
      <w:pPr>
        <w:pStyle w:val="1"/>
      </w:pPr>
      <w:r>
        <w:rPr/>
        <w:t xml:space="preserve">围绕”业务系统如何获得大模型能力”，业界目前存在三类典型路径，各有明显局限，如表</w:t>
      </w:r>
      <w:r>
        <w:t xml:space="preserve"> 2-1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2-1　</w:t>
      </w:r>
      <w:r>
        <w:rPr/>
        <w:t xml:space="preserve">三类接入路径对比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926"/>
        <w:gridCol w:w="1630"/>
        <w:gridCol w:w="4744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接入路径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优势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局限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直连大模型厂商接口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起步快、无需自建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模型绑定；流式、记忆、检索等通用逻辑需重复实现；无租户与配额体系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项目内自建</w:t>
            </w:r>
            <w:r>
              <w:t xml:space="preserve"> AI </w:t>
            </w:r>
            <w:r>
              <w:rPr/>
              <w:t xml:space="preserve">模块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与业务贴合、可深度定制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能力无法跨项目复用；安全与可观测建设成本高；每个项目都重复投入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采购封闭式</w:t>
            </w:r>
            <w:r>
              <w:t xml:space="preserve"> SaaS </w:t>
            </w:r>
            <w:r>
              <w:rPr/>
              <w:t xml:space="preserve">产品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开箱即用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能力黑盒、难以定制；数据出境与私有化部署受限；按席位收费成本高</w:t>
            </w:r>
          </w:p>
        </w:tc>
      </w:tr>
    </w:tbl>
    <w:p>
      <w:pPr>
        <w:pStyle w:val="1"/>
      </w:pPr>
      <w:r>
        <w:rPr/>
        <w:t xml:space="preserve">三类路径的共同缺陷在于：</w:t>
      </w:r>
      <w:r>
        <w:rPr/>
        <w:t xml:space="preserve">缺少一个介于”模型厂商”与”业务系统”之间的能力沉淀层</w:t>
      </w:r>
      <w:r>
        <w:rPr/>
        <w:t xml:space="preserve">。模型厂商提供的是通用算力与算法，业务系统需要的是开箱即用、可治理、可计量的场景化能力，两者之间存在明显的工程断层。</w:t>
      </w:r>
    </w:p>
    <w:bookmarkEnd w:id="14"/>
    <w:bookmarkStart w:id="15" w:name="_核心矛盾的拆解"/>
    <w:p>
      <w:pPr>
        <w:pStyle w:val="4"/>
      </w:pPr>
      <w:r>
        <w:t xml:space="preserve">2.2 </w:t>
      </w:r>
      <w:r>
        <w:rPr/>
        <w:t xml:space="preserve">核心矛盾的拆解</w:t>
      </w:r>
    </w:p>
    <w:p>
      <w:pPr>
        <w:pStyle w:val="1"/>
      </w:pPr>
      <w:r>
        <w:rPr/>
        <w:t xml:space="preserve">进一步分析，AI</w:t>
      </w:r>
      <w:r>
        <w:t xml:space="preserve"> </w:t>
      </w:r>
      <w:r>
        <w:rPr/>
        <w:t xml:space="preserve">能力平台化需要同时调和四对矛盾。</w:t>
      </w:r>
    </w:p>
    <w:p>
      <w:pPr>
        <w:pStyle w:val="1"/>
      </w:pPr>
      <w:r>
        <w:rPr/>
        <w:t xml:space="preserve">能力复用与业务定制的矛盾</w:t>
      </w:r>
      <w:r>
        <w:rPr/>
        <w:t xml:space="preserve">。平台能力要通用，业务需求又千差万别。本作品的解法是”配置组合”——将应用定义为系统提示词、模型、知识库、工具集、Agent</w:t>
      </w:r>
      <w:r>
        <w:t xml:space="preserve"> </w:t>
      </w:r>
      <w:r>
        <w:rPr/>
        <w:t xml:space="preserve">策略、记忆策略等要素的配置组合，配置保存后即时生效，无需重启，也不改一行代码。</w:t>
      </w:r>
    </w:p>
    <w:p>
      <w:pPr>
        <w:pStyle w:val="1"/>
      </w:pPr>
      <w:r>
        <w:rPr/>
        <w:t xml:space="preserve">开放接入与安全隔离的矛盾</w:t>
      </w:r>
      <w:r>
        <w:rPr/>
        <w:t xml:space="preserve">。平台要支持多租户共享，租户之间的知识库与数据必须严格隔离。本作品的解法是”框架级强制”而非”人工约定”，详见第三章四道防线设计。</w:t>
      </w:r>
    </w:p>
    <w:p>
      <w:pPr>
        <w:pStyle w:val="1"/>
      </w:pPr>
      <w:r>
        <w:rPr/>
        <w:t xml:space="preserve">成本控制与服务质量的矛盾</w:t>
      </w:r>
      <w:r>
        <w:rPr/>
        <w:t xml:space="preserve">。模型调用昂贵且供应商可能故障。本作品的解法是”计量与降级”——按租户、用户、应用、周期四个维度原子扣减配额，主模型故障自动降级备用模型，降级事件全程留痕。</w:t>
      </w:r>
    </w:p>
    <w:p>
      <w:pPr>
        <w:pStyle w:val="1"/>
      </w:pPr>
      <w:r>
        <w:rPr/>
        <w:t xml:space="preserve">平台开放与权限治理的矛盾</w:t>
      </w:r>
      <w:r>
        <w:rPr/>
        <w:t xml:space="preserve">。平台开放给多租户后，租户管理员需要自主管理本组织成员及其操作边界。本作品的解法是”租户级</w:t>
      </w:r>
      <w:r>
        <w:t xml:space="preserve"> </w:t>
      </w:r>
      <w:r>
        <w:rPr/>
        <w:t xml:space="preserve">RBAC”——角色、菜单、授权关系全部按租户隔离，管理员通过控制台自助完成成员管理与权限分配，平台无需人工介入。</w:t>
      </w:r>
    </w:p>
    <w:bookmarkEnd w:id="15"/>
    <w:bookmarkStart w:id="16" w:name="_痛点与对策映射"/>
    <w:p>
      <w:pPr>
        <w:pStyle w:val="4"/>
      </w:pPr>
      <w:r>
        <w:t xml:space="preserve">2.3 </w:t>
      </w:r>
      <w:r>
        <w:rPr/>
        <w:t xml:space="preserve">痛点与对策映射</w:t>
      </w:r>
    </w:p>
    <w:p>
      <w:pPr>
        <w:pStyle w:val="1"/>
      </w:pPr>
      <w:r>
        <w:rPr/>
        <w:t xml:space="preserve">五类行业痛点与本作品对策、对应能力的映射关系如表</w:t>
      </w:r>
      <w:r>
        <w:t xml:space="preserve"> 2-2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2-2　</w:t>
      </w:r>
      <w:r>
        <w:rPr/>
        <w:t xml:space="preserve">痛点与对策映射表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475"/>
        <w:gridCol w:w="5348"/>
        <w:gridCol w:w="1477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行业痛点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本作品对策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对应能力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模型绑定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统一</w:t>
            </w:r>
            <w:r>
              <w:t xml:space="preserve"> OpenAI </w:t>
            </w:r>
            <w:r>
              <w:rPr/>
              <w:t xml:space="preserve">兼容协议族</w:t>
            </w:r>
            <w:r>
              <w:t xml:space="preserve"> + </w:t>
            </w:r>
            <w:r>
              <w:rPr/>
              <w:t xml:space="preserve">场景路由，换模型零代码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模型网关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重复造轮子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流式、记忆、RAG、Agent</w:t>
            </w:r>
            <w:r>
              <w:t xml:space="preserve"> </w:t>
            </w:r>
            <w:r>
              <w:rPr/>
              <w:t xml:space="preserve">全部平台化沉淀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十二能力域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成本失控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四维配额硬限流</w:t>
            </w:r>
            <w:r>
              <w:t xml:space="preserve"> + Token </w:t>
            </w:r>
            <w:r>
              <w:rPr/>
              <w:t xml:space="preserve">真实统计</w:t>
            </w:r>
            <w:r>
              <w:t xml:space="preserve"> + </w:t>
            </w:r>
            <w:r>
              <w:rPr/>
              <w:t xml:space="preserve">用量看板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配额与可观测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安全合规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四道防线隔离</w:t>
            </w:r>
            <w:r>
              <w:t xml:space="preserve"> + </w:t>
            </w:r>
            <w:r>
              <w:rPr/>
              <w:t xml:space="preserve">密钥加密存储</w:t>
            </w:r>
            <w:r>
              <w:t xml:space="preserve"> + </w:t>
            </w:r>
            <w:r>
              <w:rPr/>
              <w:t xml:space="preserve">审计留痕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多租户与安全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权限治理缺位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租户级</w:t>
            </w:r>
            <w:r>
              <w:t xml:space="preserve"> RBAC + </w:t>
            </w:r>
            <w:r>
              <w:rPr/>
              <w:t xml:space="preserve">按钮级权限</w:t>
            </w:r>
            <w:r>
              <w:t xml:space="preserve"> + </w:t>
            </w:r>
            <w:r>
              <w:rPr/>
              <w:t xml:space="preserve">自助注册开通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权限管理</w:t>
            </w:r>
          </w:p>
        </w:tc>
      </w:tr>
    </w:tbl>
    <w:bookmarkEnd w:id="16"/>
    <w:bookmarkEnd w:id="17"/>
    <w:bookmarkStart w:id="29" w:name="_8f67abc880aae633ce7df60e7a4b3db3ad1fadb"/>
    <w:p>
      <w:pPr>
        <w:pStyle w:val="3"/>
      </w:pPr>
      <w:r>
        <w:rPr/>
        <w:t xml:space="preserve">第三章</w:t>
      </w:r>
      <w:r>
        <w:t xml:space="preserve"> </w:t>
      </w:r>
      <w:r>
        <w:rPr/>
        <w:t xml:space="preserve">技术方案</w:t>
      </w:r>
    </w:p>
    <w:bookmarkStart w:id="21" w:name="_总体架构"/>
    <w:p>
      <w:pPr>
        <w:pStyle w:val="4"/>
      </w:pPr>
      <w:r>
        <w:t xml:space="preserve">3.1 </w:t>
      </w:r>
      <w:r>
        <w:rPr/>
        <w:t xml:space="preserve">总体架构</w:t>
      </w:r>
    </w:p>
    <w:p>
      <w:pPr>
        <w:pStyle w:val="1"/>
      </w:pPr>
      <w:r>
        <w:rPr/>
        <w:t xml:space="preserve">平台采用”一个网关、两个业务服务、三个端”的微服务架构，总体架构如图</w:t>
      </w:r>
      <w:r>
        <w:t xml:space="preserve"> 3-1 </w:t>
      </w:r>
      <w:r>
        <w:rPr/>
        <w:t xml:space="preserve">所示。网关（aihub-gateway，端口</w:t>
      </w:r>
      <w:r>
        <w:t xml:space="preserve"> </w:t>
      </w:r>
      <w:r>
        <w:rPr/>
        <w:t xml:space="preserve">8080）是全系统唯一入口，负责统一鉴权（JWT</w:t>
      </w:r>
      <w:r>
        <w:t xml:space="preserve"> </w:t>
      </w:r>
      <w:r>
        <w:rPr/>
        <w:t xml:space="preserve">与</w:t>
      </w:r>
      <w:r>
        <w:t xml:space="preserve"> API Key </w:t>
      </w:r>
      <w:r>
        <w:rPr/>
        <w:t xml:space="preserve">双凭证）、限流熔断（Sentinel）与全链路追踪标识注入；平台服务（aihub-platform-service，端口</w:t>
      </w:r>
      <w:r>
        <w:t xml:space="preserve"> </w:t>
      </w:r>
      <w:r>
        <w:rPr/>
        <w:t xml:space="preserve">8081）承载认证注册、基于角色的访问控制（RBAC）、API</w:t>
      </w:r>
      <w:r>
        <w:t xml:space="preserve"> Key </w:t>
      </w:r>
      <w:r>
        <w:rPr/>
        <w:t xml:space="preserve">与用量配额；AI</w:t>
      </w:r>
      <w:r>
        <w:t xml:space="preserve"> </w:t>
      </w:r>
      <w:r>
        <w:rPr/>
        <w:t xml:space="preserve">服务（aihub-ai-service，端口</w:t>
      </w:r>
      <w:r>
        <w:t xml:space="preserve"> </w:t>
      </w:r>
      <w:r>
        <w:rPr/>
        <w:t xml:space="preserve">8082）将模型网关、对话、RAG、工具、Agent、会话与产物七类能力内聚为一个模块化单体，避免知识入库与流式输出跨服务拆分带来的复杂度。中间件层由</w:t>
      </w:r>
      <w:r>
        <w:t xml:space="preserve"> MySQL 8、Redis </w:t>
      </w:r>
      <w:r>
        <w:rPr/>
        <w:t xml:space="preserve">Stack（兼具缓存与向量检索）、Nacos（注册与配置中心）、Sentinel</w:t>
      </w:r>
      <w:r>
        <w:t xml:space="preserve"> Dashboard、Prometheus </w:t>
      </w:r>
      <w:r>
        <w:rPr/>
        <w:t xml:space="preserve">与</w:t>
      </w:r>
      <w:r>
        <w:t xml:space="preserve"> Grafana </w:t>
      </w:r>
      <w:r>
        <w:rPr/>
        <w:t xml:space="preserve">组成，通过一条</w:t>
      </w:r>
      <w:r>
        <w:t xml:space="preserve"> docker compose </w:t>
      </w:r>
      <w:r>
        <w:rPr/>
        <w:t xml:space="preserve">命令即可一键拉起。客户端形态上，平台提供管理端与用户端（H5</w:t>
      </w:r>
      <w:r>
        <w:t xml:space="preserve"> </w:t>
      </w:r>
      <w:r>
        <w:rPr/>
        <w:t xml:space="preserve">与微信小程序）三种端形态，技术栈选型如表</w:t>
      </w:r>
      <w:r>
        <w:t xml:space="preserve"> 3-1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335145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图3-1-系统总体架构图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3-1　</w:t>
      </w:r>
      <w:r>
        <w:rPr/>
        <w:t xml:space="preserve">系统总体架构图</w:t>
      </w:r>
    </w:p>
    <w:p>
      <w:pPr>
        <w:pStyle w:val="1"/>
      </w:pPr>
      <w:r>
        <w:rPr/>
        <w:t xml:space="preserve">表</w:t>
      </w:r>
      <w:r>
        <w:t xml:space="preserve"> 3-1　</w:t>
      </w:r>
      <w:r>
        <w:rPr/>
        <w:t xml:space="preserve">平台三端技术栈选型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021"/>
        <w:gridCol w:w="4213"/>
        <w:gridCol w:w="3066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端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技术栈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说明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管理端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Vue 3 + Element Plus + TypeScript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仪表盘、模型管理、用户角色、菜单权限、用量看板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用户端</w:t>
            </w:r>
            <w:r>
              <w:t xml:space="preserve"> H5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uni-app + Vue 3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流式对话、知识库问答、Agent</w:t>
            </w:r>
            <w:r>
              <w:t xml:space="preserve"> </w:t>
            </w:r>
            <w:r>
              <w:rPr/>
              <w:t xml:space="preserve">任务、模型切换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用户端小程序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uni-app（同一套代码）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与</w:t>
            </w:r>
            <w:r>
              <w:t xml:space="preserve"> H5 </w:t>
            </w:r>
            <w:r>
              <w:rPr/>
              <w:t xml:space="preserve">同源能力，微信开发者工具编译</w:t>
            </w:r>
          </w:p>
        </w:tc>
      </w:tr>
    </w:tbl>
    <w:p>
      <w:pPr>
        <w:pStyle w:val="1"/>
      </w:pPr>
      <w:r>
        <w:rPr/>
        <w:t xml:space="preserve">服务内部遵循严格的四层架构：表现层（web）负责协议适配与三种流式出口；编排层（application）负责用例编排、事务边界与配额校验；领域层（domain）定义全部扩展点接口且零框架依赖；基础设施层（infra-ai、infra-persistence、infra-security）完成框架适配。分层依赖关系由</w:t>
      </w:r>
      <w:r>
        <w:t xml:space="preserve"> ArchUnit </w:t>
      </w:r>
      <w:r>
        <w:rPr/>
        <w:t xml:space="preserve">规则固化，违反即构建失败，从机制上杜绝架构腐化。数据访问层遵循视图对象（VO）与数据对象（DO）分离的工程规范：控制器只收发</w:t>
      </w:r>
      <w:r>
        <w:t xml:space="preserve"> </w:t>
      </w:r>
      <w:r>
        <w:rPr/>
        <w:t xml:space="preserve">VO，数据库结构变化不会波及前端契约，敏感字段（如密码哈希）靠分层而非人工约定保证不出持久层。</w:t>
      </w:r>
    </w:p>
    <w:bookmarkEnd w:id="21"/>
    <w:bookmarkStart w:id="22" w:name="_创新点一多租户安全隔离四道防线"/>
    <w:p>
      <w:pPr>
        <w:pStyle w:val="4"/>
      </w:pPr>
      <w:r>
        <w:t xml:space="preserve">3.2 </w:t>
      </w:r>
      <w:r>
        <w:rPr/>
        <w:t xml:space="preserve">创新点一：多租户安全隔离四道防线</w:t>
      </w:r>
    </w:p>
    <w:p>
      <w:pPr>
        <w:pStyle w:val="1"/>
      </w:pPr>
      <w:r>
        <w:rPr/>
        <w:t xml:space="preserve">多租户隔离是本作品安全设计的最高优先级。知识检索链路上落地了以下四道防线。</w:t>
      </w:r>
    </w:p>
    <w:p>
      <w:pPr>
        <w:pStyle w:val="1"/>
      </w:pPr>
      <w:r>
        <w:rPr/>
        <w:t xml:space="preserve">第一道，</w:t>
      </w:r>
      <w:r>
        <w:rPr/>
        <w:t xml:space="preserve">入口收敛</w:t>
      </w:r>
      <w:r>
        <w:rPr/>
        <w:t xml:space="preserve">。业务代码禁止直接注入向量存储（VectorStore），唯一检索入口是知识检索器（KnowledgeRetriever），从源头封堵绕过路径。</w:t>
      </w:r>
    </w:p>
    <w:p>
      <w:pPr>
        <w:pStyle w:val="1"/>
      </w:pPr>
      <w:r>
        <w:rPr/>
        <w:t xml:space="preserve">第二道，</w:t>
      </w:r>
      <w:r>
        <w:rPr/>
        <w:t xml:space="preserve">强制注入</w:t>
      </w:r>
      <w:r>
        <w:rPr/>
        <w:t xml:space="preserve">。向量存储提供者在每次检索时强制以”且”条件注入租户标识（tenant_id）过滤，调用方无法绕过、也无需感知。</w:t>
      </w:r>
    </w:p>
    <w:p>
      <w:pPr>
        <w:pStyle w:val="1"/>
      </w:pPr>
      <w:r>
        <w:rPr/>
        <w:t xml:space="preserve">第三道，</w:t>
      </w:r>
      <w:r>
        <w:rPr/>
        <w:t xml:space="preserve">出口校验</w:t>
      </w:r>
      <w:r>
        <w:rPr/>
        <w:t xml:space="preserve">。检索结果返回后，租户守卫（TenantGuard）逐条校验元数据中的租户标识，不匹配即丢弃并告警，实现”即使上游漏防，出口也绝不放行”。</w:t>
      </w:r>
    </w:p>
    <w:p>
      <w:pPr>
        <w:pStyle w:val="1"/>
      </w:pPr>
      <w:r>
        <w:rPr/>
        <w:t xml:space="preserve">第四道，</w:t>
      </w:r>
      <w:r>
        <w:rPr/>
        <w:t xml:space="preserve">来源可信</w:t>
      </w:r>
      <w:r>
        <w:rPr/>
        <w:t xml:space="preserve">。租户标识只从</w:t>
      </w:r>
      <w:r>
        <w:t xml:space="preserve"> JWT </w:t>
      </w:r>
      <w:r>
        <w:rPr/>
        <w:t xml:space="preserve">或</w:t>
      </w:r>
      <w:r>
        <w:t xml:space="preserve"> API Key </w:t>
      </w:r>
      <w:r>
        <w:rPr/>
        <w:t xml:space="preserve">解析，绝不接受前端传参——网关鉴权过滤器会强制剥离并覆盖客户端伪造的租户头；同时预留</w:t>
      </w:r>
      <w:r>
        <w:t xml:space="preserve"> MyBatis </w:t>
      </w:r>
      <w:r>
        <w:rPr/>
        <w:t xml:space="preserve">拦截器兜底补全查询条件的能力。</w:t>
      </w:r>
    </w:p>
    <w:p>
      <w:pPr>
        <w:pStyle w:val="1"/>
      </w:pPr>
      <w:r>
        <w:rPr/>
        <w:t xml:space="preserve">四道防线中，前两道由代码显式实现，后两道构成纵深防御，并辅以跨租户自动化测试作为回归保障。向量索引层面，默认采用共享索引加租户标签字段过滤的方案，大租户可平滑切换独立索引；更换向量模型时通过”版本号索引</w:t>
      </w:r>
      <w:r>
        <w:t xml:space="preserve"> + </w:t>
      </w:r>
      <w:r>
        <w:rPr/>
        <w:t xml:space="preserve">别名切换”实现零停机重建。</w:t>
      </w:r>
    </w:p>
    <w:bookmarkEnd w:id="22"/>
    <w:bookmarkStart w:id="23" w:name="_创新点二三通道流式交互与长时流式保障"/>
    <w:p>
      <w:pPr>
        <w:pStyle w:val="4"/>
      </w:pPr>
      <w:r>
        <w:t xml:space="preserve">3.3 </w:t>
      </w:r>
      <w:r>
        <w:rPr/>
        <w:t xml:space="preserve">创新点二：三通道流式交互与长时流式保障</w:t>
      </w:r>
    </w:p>
    <w:p>
      <w:pPr>
        <w:pStyle w:val="1"/>
      </w:pPr>
      <w:r>
        <w:rPr/>
        <w:t xml:space="preserve">大模型输出天然是增量式的，流式体验直接决定产品观感。本作品将”流式”确立为一等公民：所有</w:t>
      </w:r>
      <w:r>
        <w:t xml:space="preserve"> AI </w:t>
      </w:r>
      <w:r>
        <w:rPr/>
        <w:t xml:space="preserve">交互按流式设计，非流式只是流式的特例。平台设计了统一事件帧协议，以单一信封格式承载全部交互语义，事件类型定义如表</w:t>
      </w:r>
      <w:r>
        <w:t xml:space="preserve"> 3-2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3-2　</w:t>
      </w:r>
      <w:r>
        <w:rPr/>
        <w:t xml:space="preserve">统一事件帧协议的事件类型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853"/>
        <w:gridCol w:w="5447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事件类型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含义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msg.start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消息开始，携带会话与消息标识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token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增量文本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rag.sources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检索到的引用来源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agent.step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智能体执行步骤（思考、行动、观察）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artifact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产物生成完成，携带预览地址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msg.end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消息结束，携带</w:t>
            </w:r>
            <w:r>
              <w:t xml:space="preserve"> Token </w:t>
            </w:r>
            <w:r>
              <w:rPr/>
              <w:t xml:space="preserve">用量与模型信息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error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错误，含错误码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ping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心跳保活</w:t>
            </w:r>
          </w:p>
        </w:tc>
      </w:tr>
    </w:tbl>
    <w:p>
      <w:pPr>
        <w:pStyle w:val="1"/>
      </w:pPr>
      <w:r>
        <w:rPr/>
        <w:t xml:space="preserve">同一套事件帧协议适配三种传输通道：H5</w:t>
      </w:r>
      <w:r>
        <w:t xml:space="preserve"> </w:t>
      </w:r>
      <w:r>
        <w:rPr/>
        <w:t xml:space="preserve">端走服务端事件推送（SSE），前端用</w:t>
      </w:r>
      <w:r>
        <w:t xml:space="preserve"> fetch </w:t>
      </w:r>
      <w:r>
        <w:rPr/>
        <w:t xml:space="preserve">加可读流解析（不采用</w:t>
      </w:r>
      <w:r>
        <w:t xml:space="preserve"> </w:t>
      </w:r>
      <w:r>
        <w:rPr/>
        <w:t xml:space="preserve">EventSource，因其无法携带自定义鉴权头）；微信小程序端走</w:t>
      </w:r>
      <w:r>
        <w:t xml:space="preserve"> NDJSON </w:t>
      </w:r>
      <w:r>
        <w:rPr/>
        <w:t xml:space="preserve">分块传输，通过启用分块接收与手动维护缓冲区处理半包；Agent</w:t>
      </w:r>
      <w:r>
        <w:t xml:space="preserve"> </w:t>
      </w:r>
      <w:r>
        <w:rPr/>
        <w:t xml:space="preserve">长任务走</w:t>
      </w:r>
      <w:r>
        <w:t xml:space="preserve"> WebSocket </w:t>
      </w:r>
      <w:r>
        <w:rPr/>
        <w:t xml:space="preserve">双向通道，支持随时中断。针对小程序分块传输，服务端强制关闭内容压缩（Content-Encoding:</w:t>
      </w:r>
      <w:r>
        <w:t xml:space="preserve"> </w:t>
      </w:r>
      <w:r>
        <w:rPr/>
        <w:t xml:space="preserve">identity），避免分块被压缩后无法按行切分。</w:t>
      </w:r>
    </w:p>
    <w:p>
      <w:pPr>
        <w:pStyle w:val="1"/>
      </w:pPr>
      <w:r>
        <w:rPr/>
        <w:t xml:space="preserve">在长时流式保障上，作品完成了两项关键工程处理。其一，网关层调优：实测发现经</w:t>
      </w:r>
      <w:r>
        <w:t xml:space="preserve"> Spring Cloud Gateway </w:t>
      </w:r>
      <w:r>
        <w:rPr/>
        <w:t xml:space="preserve">转发后</w:t>
      </w:r>
      <w:r>
        <w:t xml:space="preserve"> NDJSON </w:t>
      </w:r>
      <w:r>
        <w:rPr/>
        <w:t xml:space="preserve">响应被整体缓冲、流式体验丧失，通过源码级排查定位到响应写出过滤器仅对”流式媒体类型”列表内的响应逐帧冲刷，将</w:t>
      </w:r>
      <w:r>
        <w:t xml:space="preserve"> application/x-ndjson </w:t>
      </w:r>
      <w:r>
        <w:rPr/>
        <w:t xml:space="preserve">补入列表后恢复逐帧到达，实测一次典型问答</w:t>
      </w:r>
      <w:r>
        <w:t xml:space="preserve"> 103 </w:t>
      </w:r>
      <w:r>
        <w:rPr/>
        <w:t xml:space="preserve">个数据块全部逐帧递增。其二，容器层超时治理：流式回答走</w:t>
      </w:r>
      <w:r>
        <w:t xml:space="preserve"> MVC </w:t>
      </w:r>
      <w:r>
        <w:rPr/>
        <w:t xml:space="preserve">异步请求，容器默认的异步超时会在长回答中途掐断连接，通过显式配置异步执行器与五分钟超时上限解决，本地小模型长回答（实测</w:t>
      </w:r>
      <w:r>
        <w:t xml:space="preserve"> 119 </w:t>
      </w:r>
      <w:r>
        <w:rPr/>
        <w:t xml:space="preserve">秒）可完整输出。</w:t>
      </w:r>
    </w:p>
    <w:bookmarkEnd w:id="23"/>
    <w:bookmarkStart w:id="24" w:name="_创新点三模型可插拔云端本地混跑与场景路由"/>
    <w:p>
      <w:pPr>
        <w:pStyle w:val="4"/>
      </w:pPr>
      <w:r>
        <w:t xml:space="preserve">3.4 </w:t>
      </w:r>
      <w:r>
        <w:rPr/>
        <w:t xml:space="preserve">创新点三：模型可插拔、云端本地混跑与场景路由</w:t>
      </w:r>
    </w:p>
    <w:p>
      <w:pPr>
        <w:pStyle w:val="1"/>
      </w:pPr>
      <w:r>
        <w:rPr/>
        <w:t xml:space="preserve">平台将模型接入抽象为两个扩展点：模型解析器（ChatModelResolver）负责按供应商构建模型实例，支持</w:t>
      </w:r>
      <w:r>
        <w:t xml:space="preserve"> OpenAI </w:t>
      </w:r>
      <w:r>
        <w:rPr/>
        <w:t xml:space="preserve">兼容、火山方舟、通义</w:t>
      </w:r>
      <w:r>
        <w:t xml:space="preserve"> DashScope、DeepSeek </w:t>
      </w:r>
      <w:r>
        <w:rPr/>
        <w:t xml:space="preserve">与本地</w:t>
      </w:r>
      <w:r>
        <w:t xml:space="preserve"> Ollama </w:t>
      </w:r>
      <w:r>
        <w:rPr/>
        <w:t xml:space="preserve">等供应商——它们同属</w:t>
      </w:r>
      <w:r>
        <w:t xml:space="preserve"> OpenAI </w:t>
      </w:r>
      <w:r>
        <w:rPr/>
        <w:t xml:space="preserve">兼容协议族，差异仅在基础地址与模型名；选择策略（ModelSelectionStrategy）负责场景选模，聊天、检索、嵌入、Agent</w:t>
      </w:r>
      <w:r>
        <w:t xml:space="preserve"> </w:t>
      </w:r>
      <w:r>
        <w:rPr/>
        <w:t xml:space="preserve">规划四类场景可配置不同模型，兼顾效果与成本。新增一家供应商只需新增一个实现类与一条数据库配置，业务代码零改动。</w:t>
      </w:r>
    </w:p>
    <w:p>
      <w:pPr>
        <w:pStyle w:val="1"/>
      </w:pPr>
      <w:r>
        <w:rPr/>
        <w:t xml:space="preserve">模型实例与路由规则全部存于数据库，配置保存后即时生效、无需重启。供应商密钥采用</w:t>
      </w:r>
      <w:r>
        <w:t xml:space="preserve"> AES-GCM </w:t>
      </w:r>
      <w:r>
        <w:rPr/>
        <w:t xml:space="preserve">算法加密落库，日志与接口返回值中永不出现明文。主模型调用失败时自动降级到备用模型，降级事件记入审计日志。当前运行环境实现了</w:t>
      </w:r>
      <w:r>
        <w:rPr/>
        <w:t xml:space="preserve">云端与本地模型混跑</w:t>
      </w:r>
      <w:r>
        <w:rPr/>
        <w:t xml:space="preserve">：小米</w:t>
      </w:r>
      <w:r>
        <w:t xml:space="preserve"> MiMo </w:t>
      </w:r>
      <w:r>
        <w:rPr/>
        <w:t xml:space="preserve">与智谱</w:t>
      </w:r>
      <w:r>
        <w:t xml:space="preserve"> GLM </w:t>
      </w:r>
      <w:r>
        <w:rPr/>
        <w:t xml:space="preserve">云端模型承担主链路，本地</w:t>
      </w:r>
      <w:r>
        <w:t xml:space="preserve"> Ollama </w:t>
      </w:r>
      <w:r>
        <w:rPr/>
        <w:t xml:space="preserve">部署的</w:t>
      </w:r>
      <w:r>
        <w:t xml:space="preserve"> Qwen3 </w:t>
      </w:r>
      <w:r>
        <w:rPr/>
        <w:t xml:space="preserve">模型作为降级备份，三类场景路由均已配置主备关系。在对话端，用户可通过模型选择器实时切换本次对话使用的模型（覆盖场景路由的默认选择），实现”管理员配默认、用户按需切换”的两层模型治理。嵌入环节采用本地部署的嵌入模型完成向量化，配合检索超时保护——即使嵌入服务不可用，对话主链路也自动降级为普通模式而不中断，保障了平台可用性。</w:t>
      </w:r>
    </w:p>
    <w:bookmarkEnd w:id="24"/>
    <w:bookmarkStart w:id="25" w:name="_7955dfd690d61867998f72edf1965b96bc73d61"/>
    <w:p>
      <w:pPr>
        <w:pStyle w:val="4"/>
      </w:pPr>
      <w:r>
        <w:t xml:space="preserve">3.5 </w:t>
      </w:r>
      <w:r>
        <w:rPr/>
        <w:t xml:space="preserve">创新点四：RAG</w:t>
      </w:r>
      <w:r>
        <w:t xml:space="preserve"> </w:t>
      </w:r>
      <w:r>
        <w:rPr/>
        <w:t xml:space="preserve">全链路</w:t>
      </w:r>
    </w:p>
    <w:p>
      <w:pPr>
        <w:pStyle w:val="1"/>
      </w:pPr>
      <w:r>
        <w:rPr/>
        <w:t xml:space="preserve">知识增强覆盖从文档上传到引用溯源的完整链路。入库侧为异步任务流水线：文档解析（支持</w:t>
      </w:r>
      <w:r>
        <w:t xml:space="preserve"> </w:t>
      </w:r>
      <w:r>
        <w:rPr/>
        <w:t xml:space="preserve">TXT、Markdown、PDF、Word）→</w:t>
      </w:r>
      <w:r>
        <w:t xml:space="preserve"> </w:t>
      </w:r>
      <w:r>
        <w:rPr/>
        <w:t xml:space="preserve">文本清洗</w:t>
      </w:r>
      <w:r>
        <w:t xml:space="preserve"> → </w:t>
      </w:r>
      <w:r>
        <w:rPr/>
        <w:t xml:space="preserve">分片（段落与重叠窗口策略可配）→</w:t>
      </w:r>
      <w:r>
        <w:t xml:space="preserve"> </w:t>
      </w:r>
      <w:r>
        <w:rPr/>
        <w:t xml:space="preserve">批量向量化</w:t>
      </w:r>
      <w:r>
        <w:t xml:space="preserve"> → </w:t>
      </w:r>
      <w:r>
        <w:rPr/>
        <w:t xml:space="preserve">写入</w:t>
      </w:r>
      <w:r>
        <w:t xml:space="preserve"> Redis Stack </w:t>
      </w:r>
      <w:r>
        <w:rPr/>
        <w:t xml:space="preserve">向量索引，元数据强制携带租户、知识库与文档三级标识；任务提供进度查询与失败重试，入库文件落本地磁盘，服务重启后仍可续传。检索侧实现责任链流水线：查询重写</w:t>
      </w:r>
      <w:r>
        <w:t xml:space="preserve"> → </w:t>
      </w:r>
      <w:r>
        <w:rPr/>
        <w:t xml:space="preserve">向量召回</w:t>
      </w:r>
      <w:r>
        <w:t xml:space="preserve"> → </w:t>
      </w:r>
      <w:r>
        <w:rPr/>
        <w:t xml:space="preserve">元数据过滤（强制租户与知识库条件）→</w:t>
      </w:r>
      <w:r>
        <w:t xml:space="preserve"> </w:t>
      </w:r>
      <w:r>
        <w:rPr/>
        <w:t xml:space="preserve">出口租户校验</w:t>
      </w:r>
      <w:r>
        <w:t xml:space="preserve"> → </w:t>
      </w:r>
      <w:r>
        <w:rPr/>
        <w:t xml:space="preserve">重排与相似度阈值过滤，命中分片以编号引用形式随回答返回，前端渲染为可点击的引用卡片，引用来源落库持久化，刷新页面后仍可查回。回答必须基于检索到的知识内容，未命中时按配置话术明确告知而非编造，从产品层面抑制幻觉。</w:t>
      </w:r>
    </w:p>
    <w:bookmarkEnd w:id="25"/>
    <w:bookmarkStart w:id="26" w:name="_ad21e80d25ddc3331079adf93b349a7e19c99aa"/>
    <w:p>
      <w:pPr>
        <w:pStyle w:val="4"/>
      </w:pPr>
      <w:r>
        <w:t xml:space="preserve">3.6 </w:t>
      </w:r>
      <w:r>
        <w:rPr/>
        <w:t xml:space="preserve">创新点五：Agent</w:t>
      </w:r>
      <w:r>
        <w:t xml:space="preserve"> </w:t>
      </w:r>
      <w:r>
        <w:rPr/>
        <w:t xml:space="preserve">编排与</w:t>
      </w:r>
      <w:r>
        <w:t xml:space="preserve"> MCP </w:t>
      </w:r>
      <w:r>
        <w:rPr/>
        <w:t xml:space="preserve">双向集成</w:t>
      </w:r>
    </w:p>
    <w:p>
      <w:pPr>
        <w:pStyle w:val="1"/>
      </w:pPr>
      <w:r>
        <w:rPr/>
        <w:t xml:space="preserve">智能体内核采用”同一内核、多策略”设计：规划型智能体（PlanningAgent）将用户目标拆解为子任务链，按名派发给表格、图表、网页文档等专用执行智能体，每个执行体内部运行”思考→行动→观察”（ReAct）循环，以固定的</w:t>
      </w:r>
      <w:r>
        <w:t xml:space="preserve"> done </w:t>
      </w:r>
      <w:r>
        <w:rPr/>
        <w:t xml:space="preserve">动作终止。执行过程全程维护端上状态上下文，每个步骤通过事件帧实时推送至前端任务时间线。为防止失控，设置了三重预算（最大子任务数、最大</w:t>
      </w:r>
      <w:r>
        <w:t xml:space="preserve"> </w:t>
      </w:r>
      <w:r>
        <w:rPr/>
        <w:t xml:space="preserve">Token、最大超时），任一超限即终止并返回已得结果；用户点击停止后服务端真正取消后续步骤。智能体生成的表格、图表与网页落盘为产物（Artifact），支持在线预览与下载。实测中，一条”生成</w:t>
      </w:r>
      <w:r>
        <w:t xml:space="preserve"> 2026 </w:t>
      </w:r>
      <w:r>
        <w:rPr/>
        <w:t xml:space="preserve">年上半年销售额表格并制作网页”的任务被自动拆解为表格生成与网页生成两个子任务，先后产出两个</w:t>
      </w:r>
      <w:r>
        <w:t xml:space="preserve"> HTML </w:t>
      </w:r>
      <w:r>
        <w:rPr/>
        <w:t xml:space="preserve">产物并以可点击卡片形式返回，全过程</w:t>
      </w:r>
      <w:r>
        <w:t xml:space="preserve"> 119 </w:t>
      </w:r>
      <w:r>
        <w:rPr/>
        <w:t xml:space="preserve">秒。</w:t>
      </w:r>
    </w:p>
    <w:p>
      <w:pPr>
        <w:pStyle w:val="1"/>
      </w:pPr>
      <w:r>
        <w:rPr/>
        <w:t xml:space="preserve">工具体系支持三类来源统一注册：本地注解工具、HTTP</w:t>
      </w:r>
      <w:r>
        <w:t xml:space="preserve"> </w:t>
      </w:r>
      <w:r>
        <w:rPr/>
        <w:t xml:space="preserve">工具与</w:t>
      </w:r>
      <w:r>
        <w:t xml:space="preserve"> MCP </w:t>
      </w:r>
      <w:r>
        <w:rPr/>
        <w:t xml:space="preserve">工具。平台同时是</w:t>
      </w:r>
      <w:r>
        <w:t xml:space="preserve"> MCP </w:t>
      </w:r>
      <w:r>
        <w:rPr/>
        <w:t xml:space="preserve">的客户端与服务端——作为客户端，已实际接入三个开源</w:t>
      </w:r>
      <w:r>
        <w:t xml:space="preserve"> MCP </w:t>
      </w:r>
      <w:r>
        <w:rPr/>
        <w:t xml:space="preserve">服务器：文件系统服务器（限定工作目录的安全读写）、顺序思维服务器（结构化推理增强）与网页抓取服务器，全部通过标准</w:t>
      </w:r>
      <w:r>
        <w:t xml:space="preserve"> stdio </w:t>
      </w:r>
      <w:r>
        <w:rPr/>
        <w:t xml:space="preserve">协议以子进程方式托管，外部工具自动挂载至对话并纳入统一审计；作为服务端，将平台自身的对话与知识检索能力经三个模块（业务实现、SSE</w:t>
      </w:r>
      <w:r>
        <w:t xml:space="preserve"> </w:t>
      </w:r>
      <w:r>
        <w:rPr/>
        <w:t xml:space="preserve">在线服务、stdio</w:t>
      </w:r>
      <w:r>
        <w:t xml:space="preserve"> </w:t>
      </w:r>
      <w:r>
        <w:rPr/>
        <w:t xml:space="preserve">进程服务）对外开放，同一套工具实现可同时以两种协议被</w:t>
      </w:r>
      <w:r>
        <w:t xml:space="preserve"> Claude Desktop、Cursor </w:t>
      </w:r>
      <w:r>
        <w:rPr/>
        <w:t xml:space="preserve">等第三方</w:t>
      </w:r>
      <w:r>
        <w:t xml:space="preserve"> AI </w:t>
      </w:r>
      <w:r>
        <w:rPr/>
        <w:t xml:space="preserve">应用发现和调用，形成双向生态。</w:t>
      </w:r>
    </w:p>
    <w:bookmarkEnd w:id="26"/>
    <w:bookmarkStart w:id="27" w:name="_创新点六租户级完整权限管理rbac"/>
    <w:p>
      <w:pPr>
        <w:pStyle w:val="4"/>
      </w:pPr>
      <w:r>
        <w:t xml:space="preserve">3.7 </w:t>
      </w:r>
      <w:r>
        <w:rPr/>
        <w:t xml:space="preserve">创新点六：租户级完整权限管理（RBAC）</w:t>
      </w:r>
    </w:p>
    <w:p>
      <w:pPr>
        <w:pStyle w:val="1"/>
      </w:pPr>
      <w:r>
        <w:rPr/>
        <w:t xml:space="preserve">面向企业级交付要求，平台实现了对齐主流管理框架的完整权限管理体系，数据模型由角色、菜单、用户角色、角色菜单四张表构成。权限模型的关键设计是</w:t>
      </w:r>
      <w:r>
        <w:rPr/>
        <w:t xml:space="preserve">三级粒度</w:t>
      </w:r>
      <w:r>
        <w:rPr/>
        <w:t xml:space="preserve">：目录（M）承载导航分组、菜单（C）承载页面路由、按钮（F）承载操作权限，按钮级权限以”模块:资源:动作”形式的标准权限标识（如</w:t>
      </w:r>
      <w:r>
        <w:t xml:space="preserve"> </w:t>
      </w:r>
      <w:r>
        <w:rPr/>
        <w:t xml:space="preserve">system:user:create）表达。</w:t>
      </w:r>
    </w:p>
    <w:p>
      <w:pPr>
        <w:pStyle w:val="1"/>
      </w:pPr>
      <w:r>
        <w:rPr/>
        <w:t xml:space="preserve">鉴权机制由自定义注解与拦截器实现：控制器方法标注所需权限标识，请求到达时拦截器从”用户</w:t>
      </w:r>
      <w:r>
        <w:t xml:space="preserve"> → </w:t>
      </w:r>
      <w:r>
        <w:rPr/>
        <w:t xml:space="preserve">角色</w:t>
      </w:r>
      <w:r>
        <w:t xml:space="preserve"> → </w:t>
      </w:r>
      <w:r>
        <w:rPr/>
        <w:t xml:space="preserve">角色菜单</w:t>
      </w:r>
      <w:r>
        <w:t xml:space="preserve"> → </w:t>
      </w:r>
      <w:r>
        <w:rPr/>
        <w:t xml:space="preserve">权限标识集合”链路解析出该用户的完整权限集合并校验，权限集合经本地缓存加速、授权变更即时失效。管理端登录后从后端拉取当前用户的菜单路由树与按钮权限码，</w:t>
      </w:r>
      <w:r>
        <w:rPr/>
        <w:t xml:space="preserve">动态注册路由</w:t>
      </w:r>
      <w:r>
        <w:rPr/>
        <w:t xml:space="preserve">——不同角色的用户登录后看到不同的菜单与按钮，权限判断的前后端口径完全一致。租户隔离贯穿权限体系：角色与授权关系全部按租户隔离，注册即自动创建租户管理员角色并授权全部菜单，管理员可进一步创建自定义角色并勾选授权，实现”平台建租户、租户自治理”的分权模式。</w:t>
      </w:r>
    </w:p>
    <w:bookmarkEnd w:id="27"/>
    <w:bookmarkStart w:id="28" w:name="_工程质量保障"/>
    <w:p>
      <w:pPr>
        <w:pStyle w:val="4"/>
      </w:pPr>
      <w:r>
        <w:t xml:space="preserve">3.8 </w:t>
      </w:r>
      <w:r>
        <w:rPr/>
        <w:t xml:space="preserve">工程质量保障</w:t>
      </w:r>
    </w:p>
    <w:p>
      <w:pPr>
        <w:pStyle w:val="1"/>
      </w:pPr>
      <w:r>
        <w:rPr/>
        <w:t xml:space="preserve">平台内建了完整的可观测与治理体系：全链路追踪标识从网关起点生成，经服务间调用透传、日志上下文记录，直至响应体返回，一次请求可完整串起检索、工具与模型调用；Micrometer</w:t>
      </w:r>
      <w:r>
        <w:t xml:space="preserve"> </w:t>
      </w:r>
      <w:r>
        <w:rPr/>
        <w:t xml:space="preserve">指标覆盖每秒请求数、延迟、Token</w:t>
      </w:r>
      <w:r>
        <w:t xml:space="preserve"> </w:t>
      </w:r>
      <w:r>
        <w:rPr/>
        <w:t xml:space="preserve">消耗、工具调用与配额拒绝五类维度；审计切面在同步与流式双路径织入，完整记录调用者、应用、模型、Token</w:t>
      </w:r>
      <w:r>
        <w:t xml:space="preserve"> </w:t>
      </w:r>
      <w:r>
        <w:rPr/>
        <w:t xml:space="preserve">与耗时。配额体系支持请求数、Token、文档数、任务数四个维度，采用原子累加策略实现并发安全的硬限流。开放</w:t>
      </w:r>
      <w:r>
        <w:t xml:space="preserve"> API </w:t>
      </w:r>
      <w:r>
        <w:rPr/>
        <w:t xml:space="preserve">通道面向第三方系统，API</w:t>
      </w:r>
      <w:r>
        <w:t xml:space="preserve"> Key </w:t>
      </w:r>
      <w:r>
        <w:rPr/>
        <w:t xml:space="preserve">仅存哈希摘要，网关校验结果缓存并采用失败关闭（fail-closed）策略。登录与注册环节引入图形验证码防暴力破解，验证码一次性消费防重放。</w:t>
      </w:r>
    </w:p>
    <w:bookmarkEnd w:id="28"/>
    <w:bookmarkEnd w:id="29"/>
    <w:bookmarkStart w:id="70" w:name="_93b67785659f86362a25051f9db3b7c9b9704af"/>
    <w:p>
      <w:pPr>
        <w:pStyle w:val="3"/>
      </w:pPr>
      <w:r>
        <w:rPr/>
        <w:t xml:space="preserve">第四章</w:t>
      </w:r>
      <w:r>
        <w:t xml:space="preserve"> </w:t>
      </w:r>
      <w:r>
        <w:rPr/>
        <w:t xml:space="preserve">功能展示</w:t>
      </w:r>
    </w:p>
    <w:bookmarkStart w:id="36" w:name="_注册登录与多租户体系"/>
    <w:p>
      <w:pPr>
        <w:pStyle w:val="4"/>
      </w:pPr>
      <w:r>
        <w:t xml:space="preserve">4.1 </w:t>
      </w:r>
      <w:r>
        <w:rPr/>
        <w:t xml:space="preserve">注册登录与多租户体系</w:t>
      </w:r>
    </w:p>
    <w:p>
      <w:pPr>
        <w:pStyle w:val="1"/>
      </w:pPr>
      <w:r>
        <w:rPr/>
        <w:t xml:space="preserve">用户端提供自助注册入口，填写企业信息与管理员账号即可一键开通独立租户，这是全系统唯一的建租户入口，注册过程以图形验证码防刷。登录环节同样采用图形验证码防暴力破解，签发的</w:t>
      </w:r>
      <w:r>
        <w:t xml:space="preserve"> JWT </w:t>
      </w:r>
      <w:r>
        <w:rPr/>
        <w:t xml:space="preserve">携带租户与用户标识，后续所有请求经网关统一鉴权。如图</w:t>
      </w:r>
      <w:r>
        <w:t xml:space="preserve"> </w:t>
      </w:r>
      <w:r>
        <w:rPr/>
        <w:t xml:space="preserve">4-1、图</w:t>
      </w:r>
      <w:r>
        <w:t xml:space="preserve"> 4-2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1117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A-user端登录页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4-1　</w:t>
      </w:r>
      <w:r>
        <w:rPr/>
        <w:t xml:space="preserve">用户端登录页（图形验证码</w:t>
      </w:r>
      <w:r>
        <w:t xml:space="preserve"> + </w:t>
      </w:r>
      <w:r>
        <w:rPr/>
        <w:t xml:space="preserve">租户码</w:t>
      </w:r>
      <w:r>
        <w:t xml:space="preserve"> + </w:t>
      </w:r>
      <w:r>
        <w:rPr/>
        <w:t xml:space="preserve">账号密码）</w:t>
      </w:r>
    </w:p>
    <w:p>
      <w:pPr>
        <w:keepNext/>
        <w:pStyle w:val="1"/>
        <w:spacing w:line="240" w:lineRule="auto"/>
      </w:pPr>
      <w:r>
        <w:drawing>
          <wp:inline>
            <wp:extent cx="5334000" cy="1117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H-注册页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4-2　</w:t>
      </w:r>
      <w:r>
        <w:rPr/>
        <w:t xml:space="preserve">企业自助注册页（分企业信息、管理员账号、安全验证三段）</w:t>
      </w:r>
    </w:p>
    <w:bookmarkEnd w:id="36"/>
    <w:bookmarkStart w:id="43" w:name="_b65fead638d56bb24d991123d3f5fd6d7b8ef3a"/>
    <w:p>
      <w:pPr>
        <w:pStyle w:val="4"/>
      </w:pPr>
      <w:r>
        <w:t xml:space="preserve">4.2 H5 </w:t>
      </w:r>
      <w:r>
        <w:rPr/>
        <w:t xml:space="preserve">流式对话与模型切换</w:t>
      </w:r>
    </w:p>
    <w:p>
      <w:pPr>
        <w:pStyle w:val="1"/>
      </w:pPr>
      <w:r>
        <w:rPr/>
        <w:t xml:space="preserve">对话页提供欢迎引导与三场景快捷切换。提问后，回答以打字机效果逐帧呈现，模型思考过程以可折叠卡片实时展示；回答完成后，气泡下方标注本次回答所用模型与耗时，用户可随时通过底部的模型选择器切换本次对话使用的模型。如图</w:t>
      </w:r>
      <w:r>
        <w:t xml:space="preserve"> </w:t>
      </w:r>
      <w:r>
        <w:rPr/>
        <w:t xml:space="preserve">4-3、图</w:t>
      </w:r>
      <w:r>
        <w:t xml:space="preserve"> 4-4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11176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B-聊天首页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4-3　</w:t>
      </w:r>
      <w:r>
        <w:rPr/>
        <w:t xml:space="preserve">用户端对话首页（欢迎引导、场景切换与模型选择器）</w:t>
      </w:r>
    </w:p>
    <w:p>
      <w:pPr>
        <w:keepNext/>
        <w:pStyle w:val="1"/>
        <w:spacing w:line="240" w:lineRule="auto"/>
      </w:pPr>
      <w:r>
        <w:drawing>
          <wp:inline>
            <wp:extent cx="5334000" cy="1117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B2-对话回答效果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4-4　</w:t>
      </w:r>
      <w:r>
        <w:rPr/>
        <w:t xml:space="preserve">对话回答效果（思考过程折叠卡片、模型与耗时标注）</w:t>
      </w:r>
    </w:p>
    <w:bookmarkEnd w:id="43"/>
    <w:bookmarkStart w:id="47" w:name="_a3a233d0960169affb9140c7c79ad99fa8cb195"/>
    <w:p>
      <w:pPr>
        <w:pStyle w:val="4"/>
      </w:pPr>
      <w:r>
        <w:t xml:space="preserve">4.3 Agent </w:t>
      </w:r>
      <w:r>
        <w:rPr/>
        <w:t xml:space="preserve">自主任务执行</w:t>
      </w:r>
    </w:p>
    <w:p>
      <w:pPr>
        <w:pStyle w:val="1"/>
      </w:pPr>
      <w:r>
        <w:rPr/>
        <w:t xml:space="preserve">开启</w:t>
      </w:r>
      <w:r>
        <w:t xml:space="preserve"> Agent </w:t>
      </w:r>
      <w:r>
        <w:rPr/>
        <w:t xml:space="preserve">策略的应用可接收多步任务：页面实时展示”思考→行动→观察”步骤时间线，任务产物（表格、图表、网页）完成后生成可点击的预览卡片，全程可随时中断。实测一条”生成上半年销售额表格并制作网页”的任务被自动拆解为两个子任务，先后产出数据表格与内容页面两个</w:t>
      </w:r>
      <w:r>
        <w:t xml:space="preserve"> HTML </w:t>
      </w:r>
      <w:r>
        <w:rPr/>
        <w:t xml:space="preserve">产物。如图</w:t>
      </w:r>
      <w:r>
        <w:t xml:space="preserve"> 4-5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1117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ssets/F-Agent步骤时间线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4-5　Agent </w:t>
      </w:r>
      <w:r>
        <w:rPr/>
        <w:t xml:space="preserve">任务执行与产物卡片（任务完成</w:t>
      </w:r>
      <w:r>
        <w:t xml:space="preserve"> 2/2 </w:t>
      </w:r>
      <w:r>
        <w:rPr/>
        <w:t xml:space="preserve">步）</w:t>
      </w:r>
    </w:p>
    <w:bookmarkEnd w:id="47"/>
    <w:bookmarkStart w:id="51" w:name="_管理控制台总览"/>
    <w:p>
      <w:pPr>
        <w:pStyle w:val="4"/>
      </w:pPr>
      <w:r>
        <w:t xml:space="preserve">4.4 </w:t>
      </w:r>
      <w:r>
        <w:rPr/>
        <w:t xml:space="preserve">管理控制台总览</w:t>
      </w:r>
    </w:p>
    <w:p>
      <w:pPr>
        <w:pStyle w:val="1"/>
      </w:pPr>
      <w:r>
        <w:rPr/>
        <w:t xml:space="preserve">管理端面向租户管理员，首页为数据仪表盘：调用量、Token</w:t>
      </w:r>
      <w:r>
        <w:t xml:space="preserve"> </w:t>
      </w:r>
      <w:r>
        <w:rPr/>
        <w:t xml:space="preserve">总量、平均耗时、使用模型数四项核心指标卡一屏总览，下方提供快捷入口与各维度配额余量进度条，统计窗口支持今天、近</w:t>
      </w:r>
      <w:r>
        <w:t xml:space="preserve"> 7 </w:t>
      </w:r>
      <w:r>
        <w:rPr/>
        <w:t xml:space="preserve">天、近</w:t>
      </w:r>
      <w:r>
        <w:t xml:space="preserve"> 30 </w:t>
      </w:r>
      <w:r>
        <w:rPr/>
        <w:t xml:space="preserve">天切换。如图</w:t>
      </w:r>
      <w:r>
        <w:t xml:space="preserve"> 4-6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ssets/A01_dashboar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4-6　</w:t>
      </w:r>
      <w:r>
        <w:rPr/>
        <w:t xml:space="preserve">管理端工作台（指标卡、快捷入口与配额余量）</w:t>
      </w:r>
    </w:p>
    <w:bookmarkEnd w:id="51"/>
    <w:bookmarkStart w:id="61" w:name="_用户与权限管理"/>
    <w:p>
      <w:pPr>
        <w:pStyle w:val="4"/>
      </w:pPr>
      <w:r>
        <w:t xml:space="preserve">4.5 </w:t>
      </w:r>
      <w:r>
        <w:rPr/>
        <w:t xml:space="preserve">用户与权限管理</w:t>
      </w:r>
    </w:p>
    <w:p>
      <w:pPr>
        <w:pStyle w:val="1"/>
      </w:pPr>
      <w:r>
        <w:rPr/>
        <w:t xml:space="preserve">用户管理页支持本租户成员的查询、新增、停用、删除与密码重置；角色管理页提供角色的增删改与菜单授权——以树形控件勾选该角色可访问的菜单与按钮，保存后该角色下所有用户的权限即时生效；菜单管理页维护三级权限树（目录、菜单、按钮）与权限标识。不同角色的用户登录管理端后，仅能看到被授权的菜单，权限体系前后端口径一致。如图</w:t>
      </w:r>
      <w:r>
        <w:t xml:space="preserve"> </w:t>
      </w:r>
      <w:r>
        <w:rPr/>
        <w:t xml:space="preserve">4-7、图</w:t>
      </w:r>
      <w:r>
        <w:t xml:space="preserve"> </w:t>
      </w:r>
      <w:r>
        <w:rPr/>
        <w:t xml:space="preserve">4-8、图</w:t>
      </w:r>
      <w:r>
        <w:t xml:space="preserve"> 4-9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A02_us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4-7　</w:t>
      </w:r>
      <w:r>
        <w:rPr/>
        <w:t xml:space="preserve">用户管理（本租户用户增删改、重置密码与角色分配）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assets/A03_rol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4-8　</w:t>
      </w:r>
      <w:r>
        <w:rPr/>
        <w:t xml:space="preserve">角色管理（角色维护与菜单授权）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A03b_menu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4-9　</w:t>
      </w:r>
      <w:r>
        <w:rPr/>
        <w:t xml:space="preserve">菜单管理（目录、菜单、按钮三级权限树与权限标识）</w:t>
      </w:r>
    </w:p>
    <w:bookmarkEnd w:id="61"/>
    <w:bookmarkStart w:id="65" w:name="_模型管理与场景路由"/>
    <w:p>
      <w:pPr>
        <w:pStyle w:val="4"/>
      </w:pPr>
      <w:r>
        <w:t xml:space="preserve">4.6 </w:t>
      </w:r>
      <w:r>
        <w:rPr/>
        <w:t xml:space="preserve">模型管理与场景路由</w:t>
      </w:r>
    </w:p>
    <w:p>
      <w:pPr>
        <w:pStyle w:val="1"/>
      </w:pPr>
      <w:r>
        <w:rPr/>
        <w:t xml:space="preserve">模型管理页支持多供应商模型实例的配置（密钥加密存储）、场景路由的主备设置与连通状态管理。当前运行环境已配置云端模型（小米</w:t>
      </w:r>
      <w:r>
        <w:t xml:space="preserve"> </w:t>
      </w:r>
      <w:r>
        <w:rPr/>
        <w:t xml:space="preserve">MiMo、智谱</w:t>
      </w:r>
      <w:r>
        <w:t xml:space="preserve"> </w:t>
      </w:r>
      <w:r>
        <w:rPr/>
        <w:t xml:space="preserve">GLM）与本地</w:t>
      </w:r>
      <w:r>
        <w:t xml:space="preserve"> Ollama </w:t>
      </w:r>
      <w:r>
        <w:rPr/>
        <w:t xml:space="preserve">模型（Qwen3</w:t>
      </w:r>
      <w:r>
        <w:t xml:space="preserve"> </w:t>
      </w:r>
      <w:r>
        <w:rPr/>
        <w:t xml:space="preserve">系列）混合部署，聊天、知识库、智能体三类场景均配置了”云端主模型</w:t>
      </w:r>
      <w:r>
        <w:t xml:space="preserve"> + </w:t>
      </w:r>
      <w:r>
        <w:rPr/>
        <w:t xml:space="preserve">本地备用模型”的降级关系。如图</w:t>
      </w:r>
      <w:r>
        <w:t xml:space="preserve"> 4-10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assets/A04_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4-10　</w:t>
      </w:r>
      <w:r>
        <w:rPr/>
        <w:t xml:space="preserve">模型管理（多供应商实例、密钥加密与场景路由主备配置）</w:t>
      </w:r>
    </w:p>
    <w:bookmarkEnd w:id="65"/>
    <w:bookmarkStart w:id="69" w:name="_用量统计"/>
    <w:p>
      <w:pPr>
        <w:pStyle w:val="4"/>
      </w:pPr>
      <w:r>
        <w:t xml:space="preserve">4.7 </w:t>
      </w:r>
      <w:r>
        <w:rPr/>
        <w:t xml:space="preserve">用量统计</w:t>
      </w:r>
    </w:p>
    <w:p>
      <w:pPr>
        <w:pStyle w:val="1"/>
      </w:pPr>
      <w:r>
        <w:rPr/>
        <w:t xml:space="preserve">用量统计页提供多维度用量看板：指标卡总览调用次数与</w:t>
      </w:r>
      <w:r>
        <w:t xml:space="preserve"> Token </w:t>
      </w:r>
      <w:r>
        <w:rPr/>
        <w:t xml:space="preserve">消耗，调用趋势以双轴折线图展示调用次数与</w:t>
      </w:r>
      <w:r>
        <w:t xml:space="preserve"> Token </w:t>
      </w:r>
      <w:r>
        <w:rPr/>
        <w:t xml:space="preserve">的时间演化，按模型统计表呈现各模型的调用量与耗时分布，配额余量表以进度条直观展示各维度使用率。如图</w:t>
      </w:r>
      <w:r>
        <w:t xml:space="preserve"> 4-11 </w:t>
      </w:r>
      <w:r>
        <w:rPr/>
        <w:t xml:space="preserve">所示。</w:t>
      </w:r>
    </w:p>
    <w:p>
      <w:pPr>
        <w:keepNext/>
        <w:pStyle w:val="1"/>
        <w:spacing w:line="240" w:lineRule="auto"/>
      </w:pPr>
      <w:r>
        <w:drawing>
          <wp:inline>
            <wp:extent cx="5334000" cy="33337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ssets/A07_us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/>
        <w:t xml:space="preserve">图</w:t>
      </w:r>
      <w:r>
        <w:t xml:space="preserve"> 4-11　</w:t>
      </w:r>
      <w:r>
        <w:rPr/>
        <w:t xml:space="preserve">用量统计（趋势图、按模型统计与配额余量）</w:t>
      </w:r>
    </w:p>
    <w:bookmarkEnd w:id="69"/>
    <w:bookmarkEnd w:id="70"/>
    <w:bookmarkStart w:id="76" w:name="_f22253e9ca1b195d865000dfe323a9831e97dc3"/>
    <w:p>
      <w:pPr>
        <w:pStyle w:val="3"/>
      </w:pPr>
      <w:r>
        <w:rPr/>
        <w:t xml:space="preserve">第五章</w:t>
      </w:r>
      <w:r>
        <w:t xml:space="preserve"> </w:t>
      </w:r>
      <w:r>
        <w:rPr/>
        <w:t xml:space="preserve">验证与测试</w:t>
      </w:r>
    </w:p>
    <w:bookmarkStart w:id="71" w:name="_需求与实现映射"/>
    <w:p>
      <w:pPr>
        <w:pStyle w:val="4"/>
      </w:pPr>
      <w:r>
        <w:t xml:space="preserve">5.1 </w:t>
      </w:r>
      <w:r>
        <w:rPr/>
        <w:t xml:space="preserve">需求与实现映射</w:t>
      </w:r>
    </w:p>
    <w:p>
      <w:pPr>
        <w:pStyle w:val="1"/>
      </w:pPr>
      <w:r>
        <w:rPr/>
        <w:t xml:space="preserve">作品以需求规格说明书为基线开发，十二项功能需求与实现情况如表</w:t>
      </w:r>
      <w:r>
        <w:t xml:space="preserve"> 5-1 </w:t>
      </w:r>
      <w:r>
        <w:rPr/>
        <w:t xml:space="preserve">所示。</w:t>
      </w:r>
    </w:p>
    <w:p>
      <w:pPr>
        <w:pStyle w:val="1"/>
      </w:pPr>
      <w:r>
        <w:rPr/>
        <w:t xml:space="preserve">表</w:t>
      </w:r>
      <w:r>
        <w:t xml:space="preserve"> 5-1　</w:t>
      </w:r>
      <w:r>
        <w:rPr/>
        <w:t xml:space="preserve">功能需求实现情况映射表</w:t>
      </w:r>
    </w:p>
    <w:tbl>
      <w:tblPr>
        <w:tblStyle w:val="Table"/>
        <w:tblLook w:firstRow="1" w:lastRow="0" w:firstColumn="0" w:lastColumn="0" w:noHBand="0" w:noVBand="0" w:val="0020"/>
        <w:tblW w:w="5000" w:type="pct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276"/>
        <w:gridCol w:w="4469"/>
        <w:gridCol w:w="1276"/>
        <w:gridCol w:w="1279"/>
      </w:tblGrid>
      <w:tr>
        <w:trPr>
          <w:tblHeader w:val="on"/>
        </w:trP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需求编号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需求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优先级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Head"/>
              <w:spacing w:before="40" w:after="40" w:line="280" w:lineRule="auto"/>
              <w:jc w:val="center"/>
              <w:snapToGrid w:val="0"/>
            </w:pPr>
            <w:r>
              <w:rPr/>
              <w:t xml:space="preserve">实现情况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租户与身份（RBAC、API</w:t>
            </w:r>
            <w:r>
              <w:t xml:space="preserve"> </w:t>
            </w:r>
            <w:r>
              <w:rPr/>
              <w:t xml:space="preserve">Key、跨租户拒绝）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FR-2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应用（助手）配置化编排与内置示例模板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FR-3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模型管理（多供应商、加密存储、场景选模、降级）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FR-4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知识库与</w:t>
            </w:r>
            <w:r>
              <w:t xml:space="preserve"> </w:t>
            </w:r>
            <w:r>
              <w:rPr/>
              <w:t xml:space="preserve">RAG（四格式解析、异步入库、引用溯源）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FR-5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工具与</w:t>
            </w:r>
            <w:r>
              <w:t xml:space="preserve"> </w:t>
            </w:r>
            <w:r>
              <w:rPr/>
              <w:t xml:space="preserve">MCP（三类工具、双向集成、审计）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FR-6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会话与记忆（持久化、策略可配、用量记录）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FR-7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Agent </w:t>
            </w:r>
            <w:r>
              <w:rPr/>
              <w:t xml:space="preserve">编排（ReAct、三重预算、可中断、事件流）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FR-9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产物管理（落盘、预览、下载、租户隔离）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安全护栏（防幻觉话术、规则可配置）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配额、审计与可观测（四维配额、TraceId、看板）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P0/P1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FR-12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开放</w:t>
            </w:r>
            <w:r>
              <w:t xml:space="preserve"> API </w:t>
            </w:r>
            <w:r>
              <w:rPr/>
              <w:t xml:space="preserve">与前端（三通道流式、双端页面）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P0</w:t>
            </w:r>
          </w:p>
        </w:tc>
        <w:tc>
          <w:tcPr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已实现</w:t>
            </w:r>
          </w:p>
        </w:tc>
      </w:tr>
      <w:tr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FR-8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提示词版本管理与灰度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t xml:space="preserve">P1</w:t>
            </w:r>
          </w:p>
        </w:tc>
        <w:tc>
          <w:tcPr>
            <w:vAlign w:val="center"/>
            <w:tcBorders>
              <w:bottom w:val="single" w:sz="12" w:space="0" w:color="000000"/>
              <w:top w:val="nil"/>
              <w:left w:val="nil"/>
              <w:right w:val="nil"/>
            </w:tcBorders>
          </w:tcPr>
          <w:p>
            <w:pPr>
              <w:pStyle w:val="TblCell"/>
              <w:spacing w:before="40" w:after="40" w:line="280" w:lineRule="auto"/>
              <w:jc w:val="center"/>
              <w:snapToGrid w:val="0"/>
            </w:pPr>
            <w:r>
              <w:rPr/>
              <w:t xml:space="preserve">规划中</w:t>
            </w:r>
          </w:p>
        </w:tc>
      </w:tr>
    </w:tbl>
    <w:bookmarkEnd w:id="71"/>
    <w:bookmarkStart w:id="72" w:name="_多租户隔离验证"/>
    <w:p>
      <w:pPr>
        <w:pStyle w:val="4"/>
      </w:pPr>
      <w:r>
        <w:t xml:space="preserve">5.2 </w:t>
      </w:r>
      <w:r>
        <w:rPr/>
        <w:t xml:space="preserve">多租户隔离验证</w:t>
      </w:r>
    </w:p>
    <w:p>
      <w:pPr>
        <w:pStyle w:val="1"/>
      </w:pPr>
      <w:r>
        <w:rPr/>
        <w:t xml:space="preserve">针对最高危的跨租户访问场景，验证路径覆盖三层：其一，单元测试层面验证各仓储查询条件中租户条件是否进入</w:t>
      </w:r>
      <w:r>
        <w:t xml:space="preserve"> </w:t>
      </w:r>
      <w:r>
        <w:rPr/>
        <w:t xml:space="preserve">SQL；其二，知识检索链路验证</w:t>
      </w:r>
      <w:r>
        <w:t xml:space="preserve"> A </w:t>
      </w:r>
      <w:r>
        <w:rPr/>
        <w:t xml:space="preserve">租户检索不命中</w:t>
      </w:r>
      <w:r>
        <w:t xml:space="preserve"> B </w:t>
      </w:r>
      <w:r>
        <w:rPr/>
        <w:t xml:space="preserve">租户文档——向量元数据强制过滤加出口逐条校验双保险；其三，网关层验证客户端伪造租户头会被强制剥离并覆盖为凭证解析结果。三层验证全部通过。</w:t>
      </w:r>
    </w:p>
    <w:bookmarkEnd w:id="72"/>
    <w:bookmarkStart w:id="73" w:name="_多模型混跑与主备降级验证"/>
    <w:p>
      <w:pPr>
        <w:pStyle w:val="4"/>
      </w:pPr>
      <w:r>
        <w:t xml:space="preserve">5.3 </w:t>
      </w:r>
      <w:r>
        <w:rPr/>
        <w:t xml:space="preserve">多模型混跑与主备降级验证</w:t>
      </w:r>
    </w:p>
    <w:p>
      <w:pPr>
        <w:pStyle w:val="1"/>
      </w:pPr>
      <w:r>
        <w:rPr/>
        <w:t xml:space="preserve">当前运行环境已完成云端与本地模型的混合部署验证：用量看板显示小米</w:t>
      </w:r>
      <w:r>
        <w:t xml:space="preserve"> </w:t>
      </w:r>
      <w:r>
        <w:rPr/>
        <w:t xml:space="preserve">MiMo、智谱</w:t>
      </w:r>
      <w:r>
        <w:t xml:space="preserve"> GLM </w:t>
      </w:r>
      <w:r>
        <w:rPr/>
        <w:t xml:space="preserve">与本地</w:t>
      </w:r>
      <w:r>
        <w:t xml:space="preserve"> Qwen3 </w:t>
      </w:r>
      <w:r>
        <w:rPr/>
        <w:t xml:space="preserve">三类模型均有真实调用量分布（近</w:t>
      </w:r>
      <w:r>
        <w:t xml:space="preserve"> 7 </w:t>
      </w:r>
      <w:r>
        <w:rPr/>
        <w:t xml:space="preserve">天累计调用</w:t>
      </w:r>
      <w:r>
        <w:t xml:space="preserve"> 41 </w:t>
      </w:r>
      <w:r>
        <w:rPr/>
        <w:t xml:space="preserve">次、Token</w:t>
      </w:r>
      <w:r>
        <w:t xml:space="preserve"> </w:t>
      </w:r>
      <w:r>
        <w:rPr/>
        <w:t xml:space="preserve">总量</w:t>
      </w:r>
      <w:r>
        <w:t xml:space="preserve"> 17.1 </w:t>
      </w:r>
      <w:r>
        <w:rPr/>
        <w:t xml:space="preserve">万）。场景路由配置”云端主模型</w:t>
      </w:r>
      <w:r>
        <w:t xml:space="preserve"> + </w:t>
      </w:r>
      <w:r>
        <w:rPr/>
        <w:t xml:space="preserve">本地备用模型”后，人为将主模型密钥置错，系统自动切换备用模型并在审计日志留痕，主备降级全链路有效。</w:t>
      </w:r>
    </w:p>
    <w:bookmarkEnd w:id="73"/>
    <w:bookmarkStart w:id="74" w:name="_bdc93e5f8e0b34a09e471bceef9750f964198ca"/>
    <w:p>
      <w:pPr>
        <w:pStyle w:val="4"/>
      </w:pPr>
      <w:r>
        <w:t xml:space="preserve">5.4 Agent </w:t>
      </w:r>
      <w:r>
        <w:rPr/>
        <w:t xml:space="preserve">编排与产物验证</w:t>
      </w:r>
    </w:p>
    <w:p>
      <w:pPr>
        <w:pStyle w:val="1"/>
      </w:pPr>
      <w:r>
        <w:rPr/>
        <w:t xml:space="preserve">实测提交”生成</w:t>
      </w:r>
      <w:r>
        <w:t xml:space="preserve"> 2026 </w:t>
      </w:r>
      <w:r>
        <w:rPr/>
        <w:t xml:space="preserve">年上半年销售额表格并制作网页”任务：规划智能体将目标自动拆解为表格生成与网页生成两个子任务，依次执行并最终产出两个</w:t>
      </w:r>
      <w:r>
        <w:t xml:space="preserve"> HTML </w:t>
      </w:r>
      <w:r>
        <w:rPr/>
        <w:t xml:space="preserve">产物文件，产物以可点击卡片形式返回前端、可在线预览，任务全程</w:t>
      </w:r>
      <w:r>
        <w:t xml:space="preserve"> 119 </w:t>
      </w:r>
      <w:r>
        <w:rPr/>
        <w:t xml:space="preserve">秒，事件帧实时推送正常，验证了</w:t>
      </w:r>
      <w:r>
        <w:t xml:space="preserve"> Agent </w:t>
      </w:r>
      <w:r>
        <w:rPr/>
        <w:t xml:space="preserve">编排、三重预算与产物管理的完整链路。</w:t>
      </w:r>
    </w:p>
    <w:bookmarkEnd w:id="74"/>
    <w:bookmarkStart w:id="75" w:name="_可靠性与治理验证"/>
    <w:p>
      <w:pPr>
        <w:pStyle w:val="4"/>
      </w:pPr>
      <w:r>
        <w:t xml:space="preserve">5.5 </w:t>
      </w:r>
      <w:r>
        <w:rPr/>
        <w:t xml:space="preserve">可靠性与治理验证</w:t>
      </w:r>
    </w:p>
    <w:p>
      <w:pPr>
        <w:pStyle w:val="1"/>
      </w:pPr>
      <w:r>
        <w:rPr/>
        <w:t xml:space="preserve">配额限流：按租户配置请求数与</w:t>
      </w:r>
      <w:r>
        <w:t xml:space="preserve"> Token </w:t>
      </w:r>
      <w:r>
        <w:rPr/>
        <w:t xml:space="preserve">配额后，超限调用被拒绝并返回明确错误码（运行环境已积累</w:t>
      </w:r>
      <w:r>
        <w:t xml:space="preserve"> 41 </w:t>
      </w:r>
      <w:r>
        <w:rPr/>
        <w:t xml:space="preserve">次调用、17.1</w:t>
      </w:r>
      <w:r>
        <w:t xml:space="preserve"> </w:t>
      </w:r>
      <w:r>
        <w:rPr/>
        <w:t xml:space="preserve">万</w:t>
      </w:r>
      <w:r>
        <w:t xml:space="preserve"> Token </w:t>
      </w:r>
      <w:r>
        <w:rPr/>
        <w:t xml:space="preserve">的真实计量数据，配额余量实时可见）。限流熔断：Sentinel</w:t>
      </w:r>
      <w:r>
        <w:t xml:space="preserve"> </w:t>
      </w:r>
      <w:r>
        <w:rPr/>
        <w:t xml:space="preserve">规则持久化于</w:t>
      </w:r>
      <w:r>
        <w:t xml:space="preserve"> </w:t>
      </w:r>
      <w:r>
        <w:rPr/>
        <w:t xml:space="preserve">Nacos，网关层限流生效，控制台可实时观测。配置热更新：在</w:t>
      </w:r>
      <w:r>
        <w:t xml:space="preserve"> Nacos </w:t>
      </w:r>
      <w:r>
        <w:rPr/>
        <w:t xml:space="preserve">修改超时等参数，应用无需重启即生效。架构卡口：ArchUnit</w:t>
      </w:r>
      <w:r>
        <w:t xml:space="preserve"> </w:t>
      </w:r>
      <w:r>
        <w:rPr/>
        <w:t xml:space="preserve">依赖规则接入构建，违规依赖导致构建失败。登录注册链路的图形验证码经实测有效拦截无验证码请求。</w:t>
      </w:r>
    </w:p>
    <w:bookmarkEnd w:id="75"/>
    <w:bookmarkEnd w:id="76"/>
    <w:bookmarkStart w:id="80" w:name="_a5aea7f39298a0ffceb67c14f0250976adc2895"/>
    <w:p>
      <w:pPr>
        <w:pStyle w:val="3"/>
      </w:pPr>
      <w:r>
        <w:rPr/>
        <w:t xml:space="preserve">第六章</w:t>
      </w:r>
      <w:r>
        <w:t xml:space="preserve"> </w:t>
      </w:r>
      <w:r>
        <w:rPr/>
        <w:t xml:space="preserve">价值与展望</w:t>
      </w:r>
    </w:p>
    <w:bookmarkStart w:id="77" w:name="_通用性与推广价值"/>
    <w:p>
      <w:pPr>
        <w:pStyle w:val="4"/>
      </w:pPr>
      <w:r>
        <w:t xml:space="preserve">6.1 </w:t>
      </w:r>
      <w:r>
        <w:rPr/>
        <w:t xml:space="preserve">通用性与推广价值</w:t>
      </w:r>
    </w:p>
    <w:p>
      <w:pPr>
        <w:pStyle w:val="1"/>
      </w:pPr>
      <w:r>
        <w:rPr/>
        <w:t xml:space="preserve">本作品的核心价值在于通用性：平台不绑定任何垂直业务，任何需要大模型能力的场景都可通过配置接入。在</w:t>
      </w:r>
      <w:r>
        <w:rPr/>
        <w:t xml:space="preserve">教育场景</w:t>
      </w:r>
      <w:r>
        <w:rPr/>
        <w:t xml:space="preserve">，可为院校搭建课程知识助手，学生提问自动附带教材引用；在</w:t>
      </w:r>
      <w:r>
        <w:rPr/>
        <w:t xml:space="preserve">企业知识管理场景</w:t>
      </w:r>
      <w:r>
        <w:rPr/>
        <w:t xml:space="preserve">，可将产品手册、制度文档沉淀为知识库，新员工问答即问即答；在</w:t>
      </w:r>
      <w:r>
        <w:rPr/>
        <w:t xml:space="preserve">政务与公共服务场景</w:t>
      </w:r>
      <w:r>
        <w:rPr/>
        <w:t xml:space="preserve">，可通过开放</w:t>
      </w:r>
      <w:r>
        <w:t xml:space="preserve"> API </w:t>
      </w:r>
      <w:r>
        <w:rPr/>
        <w:t xml:space="preserve">将合规的</w:t>
      </w:r>
      <w:r>
        <w:t xml:space="preserve"> AI </w:t>
      </w:r>
      <w:r>
        <w:rPr/>
        <w:t xml:space="preserve">能力嵌入业务系统，配额与审计满足治理要求；对</w:t>
      </w:r>
      <w:r>
        <w:rPr/>
        <w:t xml:space="preserve">开发者群体</w:t>
      </w:r>
      <w:r>
        <w:rPr/>
        <w:t xml:space="preserve">，平台是现成的</w:t>
      </w:r>
      <w:r>
        <w:t xml:space="preserve"> AI </w:t>
      </w:r>
      <w:r>
        <w:rPr/>
        <w:t xml:space="preserve">工程脚手架，避免每个项目重复建设。这与国家”人工智能+</w:t>
      </w:r>
      <w:r>
        <w:rPr/>
        <w:t xml:space="preserve">“行动中”</w:t>
      </w:r>
      <w:r>
        <w:rPr/>
        <w:t xml:space="preserve">推动人工智能与千行百业深度融合”的方向高度契合。云端与本地模型的混跑能力让平台既能享受云端模型的效果红利，也能在预算敏感或数据敏感的场景平滑切换至本地开源模型，进一步拓宽了适用面。</w:t>
      </w:r>
    </w:p>
    <w:bookmarkEnd w:id="77"/>
    <w:bookmarkStart w:id="78" w:name="_扩展性"/>
    <w:p>
      <w:pPr>
        <w:pStyle w:val="4"/>
      </w:pPr>
      <w:r>
        <w:t xml:space="preserve">6.2 </w:t>
      </w:r>
      <w:r>
        <w:rPr/>
        <w:t xml:space="preserve">扩展性</w:t>
      </w:r>
    </w:p>
    <w:p>
      <w:pPr>
        <w:pStyle w:val="1"/>
      </w:pPr>
      <w:r>
        <w:rPr/>
        <w:t xml:space="preserve">平台在五个关键位置预留了接口驱动的扩展点：模型供应商、向量数据库、工具来源、Agent</w:t>
      </w:r>
      <w:r>
        <w:t xml:space="preserve"> </w:t>
      </w:r>
      <w:r>
        <w:rPr/>
        <w:t xml:space="preserve">策略与记忆存储均可替换而不改业务代码，分层依赖由</w:t>
      </w:r>
      <w:r>
        <w:t xml:space="preserve"> ArchUnit </w:t>
      </w:r>
      <w:r>
        <w:rPr/>
        <w:t xml:space="preserve">在构建期强制守护。典型扩展路径举例：接入新的模型供应商只需新增一个实现类与一条配置；向量库从</w:t>
      </w:r>
      <w:r>
        <w:t xml:space="preserve"> Redis Stack </w:t>
      </w:r>
      <w:r>
        <w:rPr/>
        <w:t xml:space="preserve">替换为专用向量数据库只需提供新的存储提供者实现；借助</w:t>
      </w:r>
      <w:r>
        <w:t xml:space="preserve"> MCP </w:t>
      </w:r>
      <w:r>
        <w:rPr/>
        <w:t xml:space="preserve">生态，外部工具无需适配即可挂载（平台已实测接入文件系统、结构化推理与网页抓取三个开源服务器），平台能力也可反向开放给第三方</w:t>
      </w:r>
      <w:r>
        <w:t xml:space="preserve"> AI </w:t>
      </w:r>
      <w:r>
        <w:rPr/>
        <w:t xml:space="preserve">应用，形成双向生态；权限模型的角色与菜单均可由管理员在控制台自助扩展，无需开发介入。</w:t>
      </w:r>
    </w:p>
    <w:bookmarkEnd w:id="78"/>
    <w:bookmarkStart w:id="79" w:name="_后续迭代规划"/>
    <w:p>
      <w:pPr>
        <w:pStyle w:val="4"/>
      </w:pPr>
      <w:r>
        <w:t xml:space="preserve">6.3 </w:t>
      </w:r>
      <w:r>
        <w:rPr/>
        <w:t xml:space="preserve">后续迭代规划</w:t>
      </w:r>
    </w:p>
    <w:p>
      <w:pPr>
        <w:pStyle w:val="1"/>
      </w:pPr>
      <w:r>
        <w:rPr/>
        <w:t xml:space="preserve">下一阶段计划从三方面深化：一是补齐提示词版本管理与灰度发布能力（FR-8），支撑提示词的</w:t>
      </w:r>
      <w:r>
        <w:t xml:space="preserve"> A/B </w:t>
      </w:r>
      <w:r>
        <w:rPr/>
        <w:t xml:space="preserve">实验；二是扩展多智能体协同编排，支持子智能体间的任务协商与结果聚合；三是完善端到端跨租户回归测试的真实库集成，并探索国产化环境适配，让平台在信创环境中同样可用。</w:t>
      </w:r>
    </w:p>
    <w:bookmarkEnd w:id="79"/>
    <w:bookmarkEnd w:id="80"/>
    <w:bookmarkEnd w:id="81"/>
    <w:bookmarkStart w:id="82" w:name="_团队分工"/>
    <w:p>
      <w:pPr>
        <w:pStyle w:val="2"/>
      </w:pPr>
      <w:r>
        <w:rPr/>
        <w:t xml:space="preserve">团队分工</w:t>
      </w:r>
    </w:p>
    <w:p>
      <w:pPr>
        <w:pStyle w:val="1"/>
      </w:pPr>
      <w:r>
        <w:rPr/>
        <w:t xml:space="preserve">（待补充：成员姓名、分工与贡献占比）</w:t>
      </w:r>
    </w:p>
    <w:bookmarkEnd w:id="82"/>
    <w:bookmarkStart w:id="83" w:name="_参考文献"/>
    <w:p>
      <w:pPr>
        <w:pStyle w:val="2"/>
      </w:pPr>
      <w:r>
        <w:rPr/>
        <w:t xml:space="preserve">参考文献</w:t>
      </w:r>
    </w:p>
    <w:p>
      <w:pPr>
        <w:pStyle w:val="Reference"/>
      </w:pPr>
      <w:r>
        <w:t xml:space="preserve">[1] </w:t>
      </w:r>
      <w:r>
        <w:rPr/>
        <w:t xml:space="preserve">国务院.</w:t>
      </w:r>
      <w:r>
        <w:t xml:space="preserve"> </w:t>
      </w:r>
      <w:r>
        <w:rPr/>
        <w:t xml:space="preserve">新一代人工智能发展规划（国发〔2017〕35</w:t>
      </w:r>
      <w:r>
        <w:t xml:space="preserve"> </w:t>
      </w:r>
      <w:r>
        <w:rPr/>
        <w:t xml:space="preserve">号）[EB/OL].</w:t>
      </w:r>
      <w:r>
        <w:t xml:space="preserve"> (2017-07-20). https://www.gov.cn/zhengce/content/2017-07/20/content_5211996.htm.</w:t>
      </w:r>
    </w:p>
    <w:p>
      <w:pPr>
        <w:pStyle w:val="Reference"/>
      </w:pPr>
      <w:r>
        <w:t xml:space="preserve">[2] </w:t>
      </w:r>
      <w:r>
        <w:rPr/>
        <w:t xml:space="preserve">国务院.</w:t>
      </w:r>
      <w:r>
        <w:t xml:space="preserve"> </w:t>
      </w:r>
      <w:r>
        <w:rPr/>
        <w:t xml:space="preserve">关于深入实施”人工智能+“行动的意见[EB/OL].</w:t>
      </w:r>
      <w:r>
        <w:t xml:space="preserve"> (2025-08-26). https://www.gov.cn/zhengce/content/202508/content_7037861.htm.</w:t>
      </w:r>
    </w:p>
    <w:p>
      <w:pPr>
        <w:pStyle w:val="Reference"/>
      </w:pPr>
      <w:r>
        <w:t xml:space="preserve">[3] </w:t>
      </w:r>
      <w:r>
        <w:rPr/>
        <w:t xml:space="preserve">新华社.</w:t>
      </w:r>
      <w:r>
        <w:t xml:space="preserve"> </w:t>
      </w:r>
      <w:r>
        <w:rPr/>
        <w:t xml:space="preserve">我国人工智能企业数量超</w:t>
      </w:r>
      <w:r>
        <w:t xml:space="preserve"> 6000 </w:t>
      </w:r>
      <w:r>
        <w:rPr/>
        <w:t xml:space="preserve">家[EB/OL].</w:t>
      </w:r>
      <w:r>
        <w:t xml:space="preserve"> (2026-01-21). https://www.gov.cn/lianbo/202601/content_7055635.htm.</w:t>
      </w:r>
    </w:p>
    <w:p>
      <w:pPr>
        <w:pStyle w:val="Reference"/>
      </w:pPr>
      <w:r>
        <w:t xml:space="preserve">[4] </w:t>
      </w:r>
      <w:r>
        <w:rPr/>
        <w:t xml:space="preserve">中国政府网.</w:t>
      </w:r>
      <w:r>
        <w:t xml:space="preserve"> </w:t>
      </w:r>
      <w:r>
        <w:rPr/>
        <w:t xml:space="preserve">我国生成式人工智能用户超六亿人</w:t>
      </w:r>
      <w:r>
        <w:t xml:space="preserve"> </w:t>
      </w:r>
      <w:r>
        <w:rPr/>
        <w:t xml:space="preserve">成为全球人工智能专利最大拥有国[EB/OL].</w:t>
      </w:r>
      <w:r>
        <w:t xml:space="preserve"> (2026-03). https://www.gov.cn/yaowen/liebiao/202603/content_7060221.htm.</w:t>
      </w:r>
    </w:p>
    <w:p>
      <w:pPr>
        <w:pStyle w:val="Reference"/>
      </w:pPr>
      <w:r>
        <w:t xml:space="preserve">[5] VMware Tanzu. Spring Boot Reference Documentation[EB/OL]. https://docs.spring.io/spring-boot/index.html.</w:t>
      </w:r>
    </w:p>
    <w:p>
      <w:pPr>
        <w:pStyle w:val="Reference"/>
      </w:pPr>
      <w:r>
        <w:t xml:space="preserve">[6] Spring. Spring AI Reference Documentation[EB/OL]. https://docs.spring.io/spring-ai/reference/.</w:t>
      </w:r>
    </w:p>
    <w:p>
      <w:pPr>
        <w:pStyle w:val="Reference"/>
      </w:pPr>
      <w:r>
        <w:t xml:space="preserve">[7] VMware Tanzu. Spring Cloud Gateway Reference Documentation[EB/OL]. https://docs.spring.io/spring-cloud-gateway/reference/.</w:t>
      </w:r>
    </w:p>
    <w:p>
      <w:pPr>
        <w:pStyle w:val="Reference"/>
      </w:pPr>
      <w:r>
        <w:t xml:space="preserve">[8] Anthropic. Model Context Protocol Specification[EB/OL]. https://modelcontextprotocol.io/.</w:t>
      </w:r>
    </w:p>
    <w:p>
      <w:pPr>
        <w:pStyle w:val="Reference"/>
      </w:pPr>
      <w:r>
        <w:t xml:space="preserve">[9] DCloud. uni-app </w:t>
      </w:r>
      <w:r>
        <w:rPr/>
        <w:t xml:space="preserve">官方文档[EB/OL].</w:t>
      </w:r>
      <w:r>
        <w:t xml:space="preserve"> https://uniapp.dcloud.net.cn/.</w:t>
      </w:r>
    </w:p>
    <w:p>
      <w:pPr>
        <w:pStyle w:val="Reference"/>
      </w:pPr>
      <w:r>
        <w:t xml:space="preserve">[10] </w:t>
      </w:r>
      <w:r>
        <w:rPr/>
        <w:t xml:space="preserve">全国信息技术标准化技术委员会.</w:t>
      </w:r>
      <w:r>
        <w:t xml:space="preserve"> GB/T 7714-2015 </w:t>
      </w:r>
      <w:r>
        <w:rPr/>
        <w:t xml:space="preserve">信息与文献</w:t>
      </w:r>
      <w:r>
        <w:t xml:space="preserve"> </w:t>
      </w:r>
      <w:r>
        <w:rPr/>
        <w:t xml:space="preserve">参考文献著录规则[S].</w:t>
      </w:r>
      <w:r>
        <w:t xml:space="preserve"> </w:t>
      </w:r>
      <w:r>
        <w:rPr/>
        <w:t xml:space="preserve">北京:</w:t>
      </w:r>
      <w:r>
        <w:t xml:space="preserve"> </w:t>
      </w:r>
      <w:r>
        <w:rPr/>
        <w:t xml:space="preserve">中国标准出版社,</w:t>
      </w:r>
      <w:r>
        <w:t xml:space="preserve"> 2015.</w:t>
      </w:r>
    </w:p>
    <w:bookmarkEnd w:id="83"/>
    <w:sectPr>
      <w:headerReference w:type="default" r:id="rId9"/>
      <w:footerReference w:type="default" r:id="rId10"/>
      <w:type w:val="nextPage"/>
      <w:pgSz w:w="11906" w:h="16838"/>
      <w:pgMar w:top="1440" w:right="1803" w:bottom="1440" w:left="1803" w:header="851" w:footer="992" w:gutter="0"/>
      <w:pgNumType w:fmt="decimal" w:start="1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 w:cs="Times New Roman"/>
        <w:sz w:val="18"/>
        <w:szCs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 w:cs="Times New Roman"/>
        <w:sz w:val="18"/>
        <w:szCs w:val="1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6" w:space="1" w:color="000000"/>
      </w:pBdr>
      <w:spacing w:line="240" w:lineRule="auto"/>
      <w:ind w:firstLine="0" w:firstLineChars="0"/>
      <w:jc w:val="center"/>
      <w:snapToGrid w:val="0"/>
    </w:pPr>
    <w:r>
      <w:rPr>
        <w:rFonts w:ascii="Times New Roman" w:eastAsia="宋体" w:hAnsi="Times New Roman" w:cs="Times New Roman"/>
        <w:sz w:val="18"/>
        <w:szCs w:val="18"/>
      </w:rPr>
      <w:t>AIHub——多租户通用 AI 能力中台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/>
      <w:snapToGrid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widowControl w:val="0"/>
        <w:spacing w:line="440" w:lineRule="exact"/>
        <w:jc w:val="both"/>
        <w:snapToGrid w:val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paragraph" w:styleId="1">
    <w:name w:val="Normal"/>
    <w:basedOn w:val="1"/>
    <w:next w:val="1"/>
    <w:qFormat/>
    <w:uiPriority w:val="9"/>
    <w:pPr>
      <w:widowControl w:val="0"/>
      <w:spacing w:before="0" w:after="0" w:line="440" w:lineRule="exact"/>
      <w:ind w:firstLine="480" w:firstLineChars="200"/>
      <w:jc w:val="both"/>
      <w:snapToGrid w:val="0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spacing w:before="240" w:after="360" w:line="600" w:lineRule="exact"/>
      <w:ind w:left="0" w:right="0" w:firstLine="0" w:firstLineChars="0"/>
      <w:jc w:val="center"/>
      <w:snapToGrid w:val="0"/>
      <w:outlineLvl w:val="0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40" w:after="160" w:line="480" w:lineRule="exact"/>
      <w:ind w:left="0" w:right="0" w:firstLine="0" w:firstLineChars="0"/>
      <w:jc w:val="left"/>
      <w:snapToGrid w:val="0"/>
      <w:outlineLvl w:val="1"/>
    </w:pPr>
    <w:rPr>
      <w:rFonts w:ascii="Arial" w:eastAsia="黑体" w:hAnsi="Arial" w:cs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160" w:after="120" w:line="440" w:lineRule="exact"/>
      <w:ind w:left="0" w:right="0" w:firstLine="0" w:firstLineChars="0"/>
      <w:jc w:val="left"/>
      <w:snapToGrid w:val="0"/>
      <w:outlineLvl w:val="2"/>
    </w:pPr>
    <w:rPr>
      <w:rFonts w:ascii="Arial" w:eastAsia="黑体" w:hAnsi="Arial" w:cs="Arial"/>
      <w:b/>
      <w:bCs/>
      <w:sz w:val="24"/>
      <w:szCs w:val="24"/>
    </w:rPr>
  </w:style>
  <w:style w:type="paragraph" w:styleId="CoverTitle">
    <w:name w:val="封面主标题"/>
    <w:basedOn w:val="1"/>
    <w:next w:val="1"/>
    <w:qFormat/>
    <w:uiPriority w:val="9"/>
    <w:pPr>
      <w:spacing w:before="2600" w:after="240" w:line="700" w:lineRule="exact"/>
      <w:ind w:firstLine="0" w:firstLineChars="0"/>
      <w:jc w:val="center"/>
      <w:snapToGrid w:val="0"/>
    </w:pPr>
    <w:rPr>
      <w:rFonts w:ascii="Arial" w:eastAsia="黑体" w:hAnsi="Arial" w:cs="Arial"/>
      <w:b/>
      <w:sz w:val="60"/>
      <w:szCs w:val="60"/>
    </w:rPr>
  </w:style>
  <w:style w:type="paragraph" w:styleId="CoverSub">
    <w:name w:val="封面副标题"/>
    <w:basedOn w:val="1"/>
    <w:next w:val="1"/>
    <w:qFormat/>
    <w:uiPriority w:val="9"/>
    <w:pPr>
      <w:spacing w:before="0" w:after="120" w:line="480" w:lineRule="exact"/>
      <w:ind w:firstLine="0" w:firstLineChars="0"/>
      <w:jc w:val="center"/>
      <w:snapToGrid w:val="0"/>
    </w:pPr>
    <w:rPr>
      <w:rFonts w:ascii="Arial" w:eastAsia="黑体" w:hAnsi="Arial" w:cs="Arial"/>
      <w:sz w:val="32"/>
      <w:szCs w:val="32"/>
    </w:rPr>
  </w:style>
  <w:style w:type="paragraph" w:styleId="CoverMeta">
    <w:name w:val="封面信息"/>
    <w:basedOn w:val="1"/>
    <w:next w:val="1"/>
    <w:qFormat/>
    <w:uiPriority w:val="9"/>
    <w:pPr>
      <w:spacing w:before="0" w:after="90" w:line="400" w:lineRule="exact"/>
      <w:ind w:firstLine="0" w:firstLineChars="0"/>
      <w:jc w:val="center"/>
      <w:snapToGrid w:val="0"/>
    </w:pPr>
    <w:rPr>
      <w:rFonts w:ascii="Times New Roman" w:eastAsia="楷体" w:hAnsi="Times New Roman" w:cs="Times New Roman"/>
      <w:sz w:val="24"/>
      <w:szCs w:val="24"/>
    </w:rPr>
  </w:style>
  <w:style w:type="paragraph" w:styleId="CoverFoot">
    <w:name w:val="封面落款"/>
    <w:basedOn w:val="1"/>
    <w:next w:val="1"/>
    <w:qFormat/>
    <w:uiPriority w:val="9"/>
    <w:pPr>
      <w:spacing w:before="2000" w:after="0" w:line="400" w:lineRule="exact"/>
      <w:ind w:firstLine="0" w:firstLineChars="0"/>
      <w:jc w:val="center"/>
      <w:snapToGrid w:val="0"/>
    </w:pPr>
    <w:rPr>
      <w:rFonts w:ascii="Times New Roman" w:eastAsia="宋体" w:hAnsi="Times New Roman" w:cs="Times New Roman"/>
      <w:sz w:val="24"/>
      <w:szCs w:val="24"/>
    </w:rPr>
  </w:style>
  <w:style w:type="paragraph" w:styleId="TOCHead">
    <w:name w:val="目录标题"/>
    <w:basedOn w:val="1"/>
    <w:next w:val="1"/>
    <w:qFormat/>
    <w:uiPriority w:val="9"/>
    <w:pPr>
      <w:spacing w:before="240" w:after="360" w:line="600" w:lineRule="exact"/>
      <w:ind w:firstLine="0" w:firstLineChars="0"/>
      <w:jc w:val="center"/>
      <w:snapToGrid w:val="0"/>
    </w:pPr>
    <w:rPr>
      <w:rFonts w:ascii="Arial" w:eastAsia="黑体" w:hAnsi="Arial" w:cs="Arial"/>
      <w:b/>
      <w:sz w:val="32"/>
      <w:szCs w:val="32"/>
    </w:rPr>
  </w:style>
  <w:style w:type="paragraph" w:styleId="TOCField">
    <w:name w:val="目录域"/>
    <w:basedOn w:val="1"/>
    <w:next w:val="1"/>
    <w:qFormat/>
    <w:uiPriority w:val="9"/>
    <w:pPr>
      <w:spacing w:before="0" w:after="0" w:line="400" w:lineRule="exact"/>
      <w:ind w:firstLine="0" w:firstLineChars="0"/>
      <w:jc w:val="left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QuoteBody">
    <w:name w:val="政策引文"/>
    <w:basedOn w:val="1"/>
    <w:next w:val="1"/>
    <w:qFormat/>
    <w:uiPriority w:val="9"/>
    <w:pPr>
      <w:spacing w:before="60" w:after="60" w:line="420" w:lineRule="exact"/>
      <w:ind w:left="482" w:right="482" w:firstLine="0" w:firstLineChars="0"/>
      <w:jc w:val="both"/>
      <w:snapToGrid w:val="0"/>
    </w:pPr>
    <w:rPr>
      <w:rFonts w:ascii="Times New Roman" w:eastAsia="楷体" w:hAnsi="Times New Roman" w:cs="Times New Roman"/>
      <w:sz w:val="21"/>
      <w:szCs w:val="21"/>
    </w:rPr>
  </w:style>
  <w:style w:type="paragraph" w:styleId="QuoteSource">
    <w:name w:val="政策出处"/>
    <w:basedOn w:val="1"/>
    <w:next w:val="1"/>
    <w:qFormat/>
    <w:uiPriority w:val="9"/>
    <w:pPr>
      <w:spacing w:before="60" w:after="140" w:line="360" w:lineRule="exact"/>
      <w:ind w:left="482" w:right="482" w:firstLine="0" w:firstLineChars="0"/>
      <w:jc w:val="right"/>
      <w:snapToGrid w:val="0"/>
    </w:pPr>
    <w:rPr>
      <w:rFonts w:ascii="Times New Roman" w:eastAsia="楷体" w:hAnsi="Times New Roman" w:cs="Times New Roman"/>
      <w:sz w:val="20"/>
      <w:szCs w:val="20"/>
    </w:rPr>
  </w:style>
  <w:style w:type="paragraph" w:styleId="SubLead">
    <w:name w:val="引导小标题"/>
    <w:basedOn w:val="1"/>
    <w:next w:val="1"/>
    <w:qFormat/>
    <w:uiPriority w:val="9"/>
    <w:pPr>
      <w:keepNext/>
      <w:spacing w:before="160" w:after="80" w:line="440" w:lineRule="exact"/>
      <w:ind w:left="0" w:firstLine="0" w:firstLineChars="0"/>
      <w:jc w:val="left"/>
      <w:snapToGrid w:val="0"/>
    </w:pPr>
    <w:rPr>
      <w:rFonts w:ascii="Arial" w:eastAsia="黑体" w:hAnsi="Arial" w:cs="Arial"/>
      <w:b/>
      <w:sz w:val="24"/>
      <w:szCs w:val="24"/>
    </w:rPr>
  </w:style>
  <w:style w:type="paragraph" w:styleId="ListItem">
    <w:name w:val="列表条目"/>
    <w:basedOn w:val="1"/>
    <w:next w:val="1"/>
    <w:qFormat/>
    <w:uiPriority w:val="9"/>
    <w:pPr>
      <w:spacing w:before="0" w:after="40" w:line="440" w:lineRule="exact"/>
      <w:ind w:left="0" w:firstLine="480" w:firstLineChars="200"/>
      <w:jc w:val="both"/>
      <w:snapToGrid w:val="0"/>
    </w:pPr>
    <w:rPr>
      <w:rFonts w:ascii="Times New Roman" w:eastAsia="宋体" w:hAnsi="Times New Roman" w:cs="Times New Roman"/>
    </w:rPr>
  </w:style>
  <w:style w:type="paragraph" w:styleId="FigureCap">
    <w:name w:val="图题"/>
    <w:basedOn w:val="1"/>
    <w:next w:val="1"/>
    <w:qFormat/>
    <w:uiPriority w:val="9"/>
    <w:pPr>
      <w:keepLines/>
      <w:spacing w:before="60" w:after="180" w:line="300" w:lineRule="exact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19"/>
      <w:szCs w:val="19"/>
    </w:rPr>
  </w:style>
  <w:style w:type="paragraph" w:styleId="TableCap">
    <w:name w:val="表题"/>
    <w:basedOn w:val="1"/>
    <w:next w:val="1"/>
    <w:qFormat/>
    <w:uiPriority w:val="9"/>
    <w:pPr>
      <w:keepNext/>
      <w:keepLines/>
      <w:spacing w:before="200" w:after="60" w:line="300" w:lineRule="exact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19"/>
      <w:szCs w:val="19"/>
    </w:rPr>
  </w:style>
  <w:style w:type="paragraph" w:styleId="Reference">
    <w:name w:val="参考文献条目"/>
    <w:basedOn w:val="1"/>
    <w:next w:val="1"/>
    <w:qFormat/>
    <w:uiPriority w:val="9"/>
    <w:pPr>
      <w:spacing w:before="0" w:after="60" w:line="400" w:lineRule="exact"/>
      <w:ind w:left="482" w:hanging="482" w:firstLine="0" w:firstLineChars="0"/>
      <w:jc w:val="both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TblHead">
    <w:name w:val="表头文字"/>
    <w:basedOn w:val="1"/>
    <w:next w:val="1"/>
    <w:qFormat/>
    <w:uiPriority w:val="9"/>
    <w:pPr>
      <w:spacing w:before="40" w:after="40" w:line="280" w:lineRule="auto"/>
      <w:ind w:left="0" w:firstLine="0" w:firstLineChars="0"/>
      <w:jc w:val="center"/>
      <w:snapToGrid w:val="0"/>
    </w:pPr>
    <w:rPr>
      <w:rFonts w:ascii="Arial" w:eastAsia="黑体" w:hAnsi="Arial" w:cs="Arial"/>
      <w:b/>
      <w:bCs/>
      <w:sz w:val="21"/>
      <w:szCs w:val="21"/>
    </w:rPr>
  </w:style>
  <w:style w:type="paragraph" w:styleId="TblCell">
    <w:name w:val="表格正文"/>
    <w:basedOn w:val="1"/>
    <w:next w:val="1"/>
    <w:qFormat/>
    <w:uiPriority w:val="9"/>
    <w:pPr>
      <w:spacing w:before="40" w:after="40" w:line="280" w:lineRule="auto"/>
      <w:ind w:left="0" w:firstLine="0" w:firstLineChars="0"/>
      <w:jc w:val="center"/>
      <w:snapToGrid w:val="0"/>
    </w:pPr>
    <w:rPr>
      <w:rFonts w:ascii="Times New Roman" w:eastAsia="宋体" w:hAnsi="Times New Roman" w:cs="Times New Roman"/>
      <w:sz w:val="21"/>
      <w:szCs w:val="21"/>
    </w:rPr>
  </w:style>
  <w:style w:type="paragraph" w:styleId="VerLine">
    <w:name w:val="版本行"/>
    <w:basedOn w:val="1"/>
    <w:next w:val="1"/>
    <w:qFormat/>
    <w:uiPriority w:val="9"/>
    <w:pPr>
      <w:spacing w:before="480" w:after="0" w:line="360" w:lineRule="exact"/>
      <w:ind w:firstLine="0" w:firstLineChars="0"/>
      <w:jc w:val="center"/>
      <w:snapToGrid w:val="0"/>
    </w:pPr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58" Type="http://schemas.openxmlformats.org/officeDocument/2006/relationships/image" Target="media/rId58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33" Type="http://schemas.openxmlformats.org/officeDocument/2006/relationships/image" Target="media/rId33.png"/><Relationship Id="rId18" Type="http://schemas.openxmlformats.org/officeDocument/2006/relationships/image" Target="media/rId18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AIHub——多租户通用 AI 能力中台</dc:title>
  <dc:creator>AIHub 项目组</dc:creator>
  <cp:keywords/>
  <dcterms:created xsi:type="dcterms:W3CDTF">2026-10-11T13:46:06Z</dcterms:created>
  <dcterms:modified xsi:type="dcterms:W3CDTF">2026-10-11T13:46:06Z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