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C" w:rsidRDefault="00C74C7A" w:rsidP="00C74C7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By default, the producer does not care what partition a specific message is written to and </w:t>
      </w:r>
      <w:r w:rsidRPr="003174EC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will balance messages over all partitions of a topic evenly</w:t>
      </w: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C74C7A" w:rsidRPr="003174EC" w:rsidRDefault="00C74C7A" w:rsidP="00C74C7A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some cases, the producer will direct messages to specific partitions. This is typically done using the message key and a </w:t>
      </w:r>
      <w:proofErr w:type="spell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partitioner</w:t>
      </w:r>
      <w:proofErr w:type="spell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that will generate a hash of the key and map it to a specific partition. This assures that all messages produced with a given key will get written to the same partition.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C74C7A" w:rsidRPr="003174EC" w:rsidRDefault="00C74C7A" w:rsidP="00C74C7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There are three primary methods of sending messages:</w:t>
      </w:r>
    </w:p>
    <w:p w:rsidR="00C74C7A" w:rsidRPr="003174EC" w:rsidRDefault="00C74C7A" w:rsidP="00C74C7A">
      <w:pPr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Fire-and-forget - in which producer send a message to the server and don’t really care if it </w:t>
      </w:r>
      <w:proofErr w:type="gram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arrived</w:t>
      </w:r>
      <w:proofErr w:type="gram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succesfully</w:t>
      </w:r>
      <w:proofErr w:type="spell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or not. Most of the time, it will arrive successfully, since Kafka is highly available and the producer will retry sending messages automatically. However, some messages will get lost using this method.</w:t>
      </w:r>
    </w:p>
    <w:p w:rsidR="00C74C7A" w:rsidRPr="003174EC" w:rsidRDefault="00C74C7A" w:rsidP="00C74C7A">
      <w:pPr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Synchronous Send - we send a message, the </w:t>
      </w:r>
      <w:proofErr w:type="gram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send(</w:t>
      </w:r>
      <w:proofErr w:type="gram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) method returns a Future object and we use get() to wait on the future and see if the send() was successful or not.</w:t>
      </w:r>
    </w:p>
    <w:p w:rsidR="00C74C7A" w:rsidRPr="003174EC" w:rsidRDefault="00C74C7A" w:rsidP="00C74C7A">
      <w:pPr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Asynchronous Send - we call the </w:t>
      </w:r>
      <w:proofErr w:type="gram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send(</w:t>
      </w:r>
      <w:proofErr w:type="gram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method with a </w:t>
      </w:r>
      <w:proofErr w:type="spell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callback</w:t>
      </w:r>
      <w:proofErr w:type="spell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function, which gets triggered when receive a response from the Kafka broker.</w:t>
      </w:r>
    </w:p>
    <w:p w:rsidR="00C74C7A" w:rsidRPr="003174EC" w:rsidRDefault="00C74C7A" w:rsidP="00C74C7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Also note that a single producer object can be used by multiple threads to send messages, or you can use multiple producers. You will probably want to start with one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producer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and one thread. If you need better throughput, you can add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more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threads that use the same producer</w:t>
      </w:r>
    </w:p>
    <w:p w:rsidR="00C74C7A" w:rsidRPr="003174EC" w:rsidRDefault="00C74C7A" w:rsidP="00C74C7A">
      <w:pPr>
        <w:rPr>
          <w:rStyle w:val="apple-converted-space"/>
          <w:rFonts w:ascii="Verdana" w:hAnsi="Verdana"/>
          <w:b/>
          <w:color w:val="333333"/>
          <w:sz w:val="20"/>
          <w:szCs w:val="20"/>
          <w:u w:val="single"/>
          <w:shd w:val="clear" w:color="auto" w:fill="FFFFFF"/>
        </w:rPr>
      </w:pPr>
      <w:r w:rsidRPr="003174EC">
        <w:rPr>
          <w:rStyle w:val="apple-converted-space"/>
          <w:rFonts w:ascii="Verdana" w:hAnsi="Verdana"/>
          <w:b/>
          <w:color w:val="333333"/>
          <w:sz w:val="20"/>
          <w:szCs w:val="20"/>
          <w:u w:val="single"/>
          <w:shd w:val="clear" w:color="auto" w:fill="FFFFFF"/>
        </w:rPr>
        <w:t>SENDING A MESSAGE SYNCHRONOUSLY</w:t>
      </w:r>
    </w:p>
    <w:p w:rsidR="00C74C7A" w:rsidRPr="003174EC" w:rsidRDefault="00C74C7A" w:rsidP="00C74C7A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ProducerRecord</w:t>
      </w:r>
      <w:proofErr w:type="spell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&lt;String, String&gt; record =</w:t>
      </w:r>
    </w:p>
    <w:p w:rsidR="00C74C7A" w:rsidRPr="003174EC" w:rsidRDefault="00C74C7A" w:rsidP="00C74C7A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ab/>
      </w:r>
      <w:proofErr w:type="gram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new</w:t>
      </w:r>
      <w:proofErr w:type="gram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ProducerRecord</w:t>
      </w:r>
      <w:proofErr w:type="spell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&lt;&gt;("</w:t>
      </w:r>
      <w:proofErr w:type="spell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CustomerCountry</w:t>
      </w:r>
      <w:proofErr w:type="spell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", "Precision Products", "France");</w:t>
      </w:r>
    </w:p>
    <w:p w:rsidR="00C74C7A" w:rsidRPr="003174EC" w:rsidRDefault="00C74C7A" w:rsidP="00C74C7A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producer.send</w:t>
      </w:r>
      <w:proofErr w:type="spell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record).get(); // wait on the response</w:t>
      </w:r>
    </w:p>
    <w:p w:rsidR="00C74C7A" w:rsidRPr="003174EC" w:rsidRDefault="00C74C7A" w:rsidP="00C74C7A">
      <w:pPr>
        <w:rPr>
          <w:rStyle w:val="apple-converted-space"/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3174EC">
        <w:rPr>
          <w:rStyle w:val="apple-converted-space"/>
          <w:rFonts w:ascii="Verdana" w:hAnsi="Verdana"/>
          <w:b/>
          <w:color w:val="333333"/>
          <w:sz w:val="20"/>
          <w:szCs w:val="20"/>
          <w:shd w:val="clear" w:color="auto" w:fill="FFFFFF"/>
        </w:rPr>
        <w:t>Kafka Producer Exception and Errors:</w:t>
      </w:r>
    </w:p>
    <w:p w:rsidR="00C74C7A" w:rsidRPr="003174EC" w:rsidRDefault="00C74C7A" w:rsidP="00C74C7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KafkaProducer</w:t>
      </w:r>
      <w:proofErr w:type="spell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has two types of errors. </w:t>
      </w:r>
    </w:p>
    <w:p w:rsidR="00C74C7A" w:rsidRPr="003174EC" w:rsidRDefault="00C74C7A" w:rsidP="00C74C7A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Retriable</w:t>
      </w:r>
      <w:proofErr w:type="spellEnd"/>
      <w:r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errors Ex: Broker is not available. Try al</w:t>
      </w: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ternate broker</w:t>
      </w:r>
    </w:p>
    <w:p w:rsidR="00C74C7A" w:rsidRPr="003174EC" w:rsidRDefault="00C74C7A" w:rsidP="00C74C7A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Non-</w:t>
      </w:r>
      <w:proofErr w:type="spellStart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Retriable</w:t>
      </w:r>
      <w:proofErr w:type="spellEnd"/>
      <w:r w:rsidRPr="003174EC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errors Ex: Message size too large.</w:t>
      </w:r>
    </w:p>
    <w:p w:rsidR="0020241F" w:rsidRPr="003174EC" w:rsidRDefault="0020241F">
      <w:pPr>
        <w:rPr>
          <w:rFonts w:ascii="Verdana" w:hAnsi="Verdana"/>
          <w:b/>
          <w:sz w:val="20"/>
          <w:szCs w:val="20"/>
          <w:u w:val="single"/>
        </w:rPr>
      </w:pPr>
      <w:r w:rsidRPr="003174EC">
        <w:rPr>
          <w:rFonts w:ascii="Verdana" w:hAnsi="Verdana"/>
          <w:b/>
          <w:sz w:val="20"/>
          <w:szCs w:val="20"/>
          <w:u w:val="single"/>
        </w:rPr>
        <w:t>SENDING MESSAGE ASYNCHRONOUSLY</w:t>
      </w:r>
    </w:p>
    <w:p w:rsidR="0020241F" w:rsidRPr="003174EC" w:rsidRDefault="004F742C">
      <w:pPr>
        <w:rPr>
          <w:rFonts w:ascii="Verdana" w:hAnsi="Verdana"/>
          <w:b/>
          <w:sz w:val="20"/>
          <w:szCs w:val="20"/>
          <w:u w:val="single"/>
        </w:rPr>
      </w:pPr>
      <w:r w:rsidRPr="004F74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most cases,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producer</w:t>
      </w:r>
      <w:r w:rsidRPr="004F74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really don’t need a reply - Kafka sends back the topic, partition and offset of the record after it was written and this information is usually not required by the sending app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20241F"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In order to send messages asynchronously and still</w:t>
      </w:r>
      <w:r w:rsidR="00A7789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</w:t>
      </w:r>
      <w:r w:rsidR="0020241F"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handle error scenarios, the Producer supports adding a </w:t>
      </w:r>
      <w:proofErr w:type="spellStart"/>
      <w:r w:rsidR="0020241F"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>callback</w:t>
      </w:r>
      <w:proofErr w:type="spellEnd"/>
      <w:r w:rsidR="0020241F" w:rsidRPr="003174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when sending a record.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22"/>
      </w:tblGrid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private class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DemoProducerCallback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 implements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Callback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 { 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ab/>
              <w:t>@Override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    public void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onCompletion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RecordMetadata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recordMetadata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>, Exception e) {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5E5F93">
              <w:rPr>
                <w:rFonts w:ascii="Verdana" w:hAnsi="Verdana"/>
                <w:sz w:val="20"/>
                <w:szCs w:val="20"/>
              </w:rPr>
              <w:tab/>
              <w:t>if (e != null) {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Pr="005E5F93">
              <w:rPr>
                <w:rFonts w:ascii="Verdana" w:hAnsi="Verdana"/>
                <w:sz w:val="20"/>
                <w:szCs w:val="20"/>
              </w:rPr>
              <w:tab/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e.printStackTrace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(); 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        }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    }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ProducerRecord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>&lt;String, String&gt; record =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r w:rsidRPr="005E5F93">
              <w:rPr>
                <w:rFonts w:ascii="Verdana" w:hAnsi="Verdana"/>
                <w:sz w:val="20"/>
                <w:szCs w:val="20"/>
              </w:rPr>
              <w:t xml:space="preserve">new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ProducerRecord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>&lt;&gt;("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CustomerCo</w:t>
            </w:r>
            <w:r w:rsidRPr="005E5F93">
              <w:rPr>
                <w:rFonts w:ascii="Verdana" w:hAnsi="Verdana"/>
                <w:sz w:val="20"/>
                <w:szCs w:val="20"/>
              </w:rPr>
              <w:t>untry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", "Biomedical Materials", </w:t>
            </w:r>
            <w:r w:rsidRPr="005E5F93">
              <w:rPr>
                <w:rFonts w:ascii="Verdana" w:hAnsi="Verdana"/>
                <w:sz w:val="20"/>
                <w:szCs w:val="20"/>
              </w:rPr>
              <w:t xml:space="preserve">"USA"); </w:t>
            </w:r>
          </w:p>
        </w:tc>
      </w:tr>
      <w:tr w:rsidR="005E5F93" w:rsidRPr="005E5F93" w:rsidTr="005E5F93">
        <w:tc>
          <w:tcPr>
            <w:tcW w:w="8522" w:type="dxa"/>
          </w:tcPr>
          <w:p w:rsidR="005E5F93" w:rsidRPr="005E5F93" w:rsidRDefault="005E5F93" w:rsidP="003B342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producer.send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>(record</w:t>
            </w:r>
            <w:r w:rsidRPr="005E5F93">
              <w:rPr>
                <w:rFonts w:ascii="Verdana" w:hAnsi="Verdana"/>
                <w:sz w:val="20"/>
                <w:szCs w:val="20"/>
              </w:rPr>
              <w:t xml:space="preserve">, new </w:t>
            </w:r>
            <w:proofErr w:type="spellStart"/>
            <w:r w:rsidRPr="005E5F93">
              <w:rPr>
                <w:rFonts w:ascii="Verdana" w:hAnsi="Verdana"/>
                <w:sz w:val="20"/>
                <w:szCs w:val="20"/>
              </w:rPr>
              <w:t>DemoProducerCallback</w:t>
            </w:r>
            <w:proofErr w:type="spellEnd"/>
            <w:r w:rsidRPr="005E5F93">
              <w:rPr>
                <w:rFonts w:ascii="Verdana" w:hAnsi="Verdana"/>
                <w:sz w:val="20"/>
                <w:szCs w:val="20"/>
              </w:rPr>
              <w:t xml:space="preserve">()); </w:t>
            </w:r>
          </w:p>
        </w:tc>
      </w:tr>
    </w:tbl>
    <w:p w:rsidR="005E5F93" w:rsidRPr="003174EC" w:rsidRDefault="005E5F93">
      <w:pPr>
        <w:rPr>
          <w:rFonts w:ascii="Verdana" w:hAnsi="Verdana"/>
          <w:b/>
          <w:sz w:val="20"/>
          <w:szCs w:val="20"/>
          <w:u w:val="single"/>
        </w:rPr>
      </w:pPr>
    </w:p>
    <w:p w:rsidR="00B0010A" w:rsidRPr="003174EC" w:rsidRDefault="00B0010A">
      <w:pPr>
        <w:rPr>
          <w:rFonts w:ascii="Verdana" w:hAnsi="Verdana"/>
          <w:b/>
          <w:sz w:val="20"/>
          <w:szCs w:val="20"/>
          <w:u w:val="single"/>
        </w:rPr>
      </w:pPr>
      <w:r w:rsidRPr="003174EC">
        <w:rPr>
          <w:rFonts w:ascii="Verdana" w:hAnsi="Verdana"/>
          <w:b/>
          <w:sz w:val="20"/>
          <w:szCs w:val="20"/>
          <w:u w:val="single"/>
        </w:rPr>
        <w:t>How to connect to multiple brokers</w:t>
      </w:r>
    </w:p>
    <w:p w:rsidR="00B0010A" w:rsidRPr="003174EC" w:rsidRDefault="00B0010A" w:rsidP="00B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Verdana" w:hAnsi="Verdana" w:cs="Courier New"/>
          <w:b/>
          <w:color w:val="4A3C31"/>
          <w:sz w:val="20"/>
          <w:szCs w:val="20"/>
        </w:rPr>
      </w:pPr>
      <w:proofErr w:type="spellStart"/>
      <w:proofErr w:type="gramStart"/>
      <w:r w:rsidRPr="003174EC">
        <w:rPr>
          <w:rFonts w:ascii="Verdana" w:hAnsi="Verdana" w:cs="Courier New"/>
          <w:b/>
          <w:color w:val="4A3C31"/>
          <w:sz w:val="20"/>
          <w:szCs w:val="20"/>
        </w:rPr>
        <w:t>kafkaProps.put</w:t>
      </w:r>
      <w:proofErr w:type="spellEnd"/>
      <w:r w:rsidRPr="003174EC">
        <w:rPr>
          <w:rFonts w:ascii="Verdana" w:hAnsi="Verdana" w:cs="Courier New"/>
          <w:b/>
          <w:color w:val="4A3C31"/>
          <w:sz w:val="20"/>
          <w:szCs w:val="20"/>
        </w:rPr>
        <w:t>(</w:t>
      </w:r>
      <w:proofErr w:type="gramEnd"/>
      <w:r w:rsidRPr="003174EC">
        <w:rPr>
          <w:rFonts w:ascii="Verdana" w:hAnsi="Verdana" w:cs="Courier New"/>
          <w:b/>
          <w:color w:val="4A3C31"/>
          <w:sz w:val="20"/>
          <w:szCs w:val="20"/>
        </w:rPr>
        <w:t xml:space="preserve">"bootstrap.servers","broker1:9092,broker2:9092"); </w:t>
      </w:r>
    </w:p>
    <w:p w:rsidR="00B0010A" w:rsidRPr="003174EC" w:rsidRDefault="00B0010A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</w:p>
    <w:sectPr w:rsidR="00B0010A" w:rsidRPr="003174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6F40"/>
    <w:multiLevelType w:val="hybridMultilevel"/>
    <w:tmpl w:val="47F8779C"/>
    <w:lvl w:ilvl="0" w:tplc="DFC652F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CA3A8A"/>
    <w:multiLevelType w:val="multilevel"/>
    <w:tmpl w:val="079AF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2A"/>
    <w:rsid w:val="001C7884"/>
    <w:rsid w:val="0020241F"/>
    <w:rsid w:val="00297663"/>
    <w:rsid w:val="003174EC"/>
    <w:rsid w:val="004F742C"/>
    <w:rsid w:val="005E5F93"/>
    <w:rsid w:val="007C1162"/>
    <w:rsid w:val="007E0208"/>
    <w:rsid w:val="00A7789A"/>
    <w:rsid w:val="00B0010A"/>
    <w:rsid w:val="00BD66BF"/>
    <w:rsid w:val="00C353DD"/>
    <w:rsid w:val="00C74C7A"/>
    <w:rsid w:val="00D83D74"/>
    <w:rsid w:val="00D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C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4C7A"/>
  </w:style>
  <w:style w:type="table" w:styleId="TableGrid">
    <w:name w:val="Table Grid"/>
    <w:basedOn w:val="TableNormal"/>
    <w:rsid w:val="005E5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C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4C7A"/>
  </w:style>
  <w:style w:type="table" w:styleId="TableGrid">
    <w:name w:val="Table Grid"/>
    <w:basedOn w:val="TableNormal"/>
    <w:rsid w:val="005E5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9</cp:revision>
  <dcterms:created xsi:type="dcterms:W3CDTF">2016-05-25T21:31:00Z</dcterms:created>
  <dcterms:modified xsi:type="dcterms:W3CDTF">2016-05-25T22:57:00Z</dcterms:modified>
</cp:coreProperties>
</file>