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EC" w:rsidRPr="007E4FCB" w:rsidRDefault="00F55DEC">
      <w:pPr>
        <w:rPr>
          <w:rFonts w:cstheme="minorHAnsi"/>
        </w:rPr>
      </w:pPr>
      <w:r w:rsidRPr="007E4FCB">
        <w:rPr>
          <w:rFonts w:cstheme="minorHAnsi"/>
          <w:b/>
        </w:rPr>
        <w:t>Goal</w:t>
      </w:r>
      <w:r w:rsidRPr="007E4FCB">
        <w:rPr>
          <w:rFonts w:cstheme="minorHAnsi"/>
        </w:rPr>
        <w:t>:</w:t>
      </w:r>
    </w:p>
    <w:p w:rsidR="00F55DEC" w:rsidRPr="007E4FCB" w:rsidRDefault="00F55DEC">
      <w:pPr>
        <w:rPr>
          <w:rFonts w:cstheme="minorHAnsi"/>
        </w:rPr>
      </w:pPr>
      <w:r w:rsidRPr="007E4FCB">
        <w:rPr>
          <w:rFonts w:cstheme="minorHAnsi"/>
        </w:rPr>
        <w:t>The goal of the project is</w:t>
      </w:r>
      <w:r w:rsidR="00EF472D" w:rsidRPr="007E4FCB">
        <w:rPr>
          <w:rFonts w:cstheme="minorHAnsi"/>
        </w:rPr>
        <w:t xml:space="preserve"> to implement and analyze runtimes of </w:t>
      </w:r>
      <w:r w:rsidRPr="007E4FCB">
        <w:rPr>
          <w:rFonts w:cstheme="minorHAnsi"/>
        </w:rPr>
        <w:t xml:space="preserve">popular </w:t>
      </w:r>
      <w:r w:rsidR="00EF472D" w:rsidRPr="007E4FCB">
        <w:rPr>
          <w:rFonts w:cstheme="minorHAnsi"/>
        </w:rPr>
        <w:t>frequent pattern mining algorithms.</w:t>
      </w:r>
      <w:r w:rsidRPr="007E4FCB">
        <w:rPr>
          <w:rFonts w:cstheme="minorHAnsi"/>
        </w:rPr>
        <w:t xml:space="preserve"> </w:t>
      </w:r>
      <w:r w:rsidR="00A855F7" w:rsidRPr="007E4FCB">
        <w:rPr>
          <w:rFonts w:cstheme="minorHAnsi"/>
        </w:rPr>
        <w:t xml:space="preserve">Classical </w:t>
      </w:r>
      <w:proofErr w:type="spellStart"/>
      <w:r w:rsidR="00A855F7" w:rsidRPr="007E4FCB">
        <w:rPr>
          <w:rFonts w:cstheme="minorHAnsi"/>
        </w:rPr>
        <w:t>Apriori</w:t>
      </w:r>
      <w:proofErr w:type="spellEnd"/>
      <w:r w:rsidRPr="007E4FCB">
        <w:rPr>
          <w:rFonts w:cstheme="minorHAnsi"/>
        </w:rPr>
        <w:t xml:space="preserve">, FP-growth, and improved </w:t>
      </w:r>
      <w:proofErr w:type="spellStart"/>
      <w:r w:rsidRPr="007E4FCB">
        <w:rPr>
          <w:rFonts w:cstheme="minorHAnsi"/>
        </w:rPr>
        <w:t>Apriori</w:t>
      </w:r>
      <w:proofErr w:type="spellEnd"/>
      <w:r w:rsidRPr="007E4FCB">
        <w:rPr>
          <w:rFonts w:cstheme="minorHAnsi"/>
        </w:rPr>
        <w:t xml:space="preserve"> were used to perform frequent pattern mining on UCI’s Adult dataset, available at</w:t>
      </w:r>
      <w:r w:rsidRPr="00EA3CB8">
        <w:rPr>
          <w:rFonts w:cstheme="minorHAnsi"/>
        </w:rPr>
        <w:t xml:space="preserve"> </w:t>
      </w:r>
      <w:hyperlink r:id="rId6" w:history="1">
        <w:r w:rsidRPr="00EA3CB8">
          <w:rPr>
            <w:rStyle w:val="Hyperlink"/>
            <w:rFonts w:cstheme="minorHAnsi"/>
            <w:color w:val="auto"/>
            <w:u w:val="none"/>
          </w:rPr>
          <w:t>http://archive.ics.uci.edu/ml/machine-learning-databases/adult/</w:t>
        </w:r>
      </w:hyperlink>
      <w:r w:rsidRPr="00EA3CB8">
        <w:rPr>
          <w:rFonts w:cstheme="minorHAnsi"/>
        </w:rPr>
        <w:t>.</w:t>
      </w:r>
    </w:p>
    <w:p w:rsidR="00F55DEC" w:rsidRPr="007E4FCB" w:rsidRDefault="00F55DEC">
      <w:pPr>
        <w:rPr>
          <w:rFonts w:cstheme="minorHAnsi"/>
        </w:rPr>
      </w:pPr>
      <w:r w:rsidRPr="007E4FCB">
        <w:rPr>
          <w:rFonts w:cstheme="minorHAnsi"/>
          <w:b/>
        </w:rPr>
        <w:t>Data preprocessing</w:t>
      </w:r>
      <w:r w:rsidRPr="007E4FCB">
        <w:rPr>
          <w:rFonts w:cstheme="minorHAnsi"/>
        </w:rPr>
        <w:t>:</w:t>
      </w:r>
    </w:p>
    <w:p w:rsidR="00F55DEC" w:rsidRPr="007E4FCB" w:rsidRDefault="00F55DEC">
      <w:pPr>
        <w:rPr>
          <w:rFonts w:cstheme="minorHAnsi"/>
        </w:rPr>
      </w:pPr>
      <w:r w:rsidRPr="007E4FCB">
        <w:rPr>
          <w:rFonts w:cstheme="minorHAnsi"/>
        </w:rPr>
        <w:t>The</w:t>
      </w:r>
      <w:r w:rsidR="000779B9" w:rsidRPr="007E4FCB">
        <w:rPr>
          <w:rFonts w:cstheme="minorHAnsi"/>
        </w:rPr>
        <w:t xml:space="preserve"> main class reads the relative file path for</w:t>
      </w:r>
      <w:r w:rsidRPr="007E4FCB">
        <w:rPr>
          <w:rFonts w:cstheme="minorHAnsi"/>
        </w:rPr>
        <w:t xml:space="preserve"> </w:t>
      </w:r>
      <w:proofErr w:type="spellStart"/>
      <w:r w:rsidRPr="007E4FCB">
        <w:rPr>
          <w:rFonts w:cstheme="minorHAnsi"/>
        </w:rPr>
        <w:t>adult.data</w:t>
      </w:r>
      <w:proofErr w:type="spellEnd"/>
      <w:r w:rsidRPr="007E4FCB">
        <w:rPr>
          <w:rFonts w:cstheme="minorHAnsi"/>
        </w:rPr>
        <w:t>.</w:t>
      </w:r>
      <w:r w:rsidR="006D0A31" w:rsidRPr="007E4FCB">
        <w:rPr>
          <w:rFonts w:cstheme="minorHAnsi"/>
        </w:rPr>
        <w:t xml:space="preserve"> Names for c</w:t>
      </w:r>
      <w:r w:rsidR="000779B9" w:rsidRPr="007E4FCB">
        <w:rPr>
          <w:rFonts w:cstheme="minorHAnsi"/>
        </w:rPr>
        <w:t>omma-separated attribute</w:t>
      </w:r>
      <w:r w:rsidR="006D0A31" w:rsidRPr="007E4FCB">
        <w:rPr>
          <w:rFonts w:cstheme="minorHAnsi"/>
        </w:rPr>
        <w:t xml:space="preserve">s and numeric concept hierarchies </w:t>
      </w:r>
      <w:r w:rsidR="000779B9" w:rsidRPr="007E4FCB">
        <w:rPr>
          <w:rFonts w:cstheme="minorHAnsi"/>
        </w:rPr>
        <w:t>were manual</w:t>
      </w:r>
      <w:r w:rsidR="00134710" w:rsidRPr="007E4FCB">
        <w:rPr>
          <w:rFonts w:cstheme="minorHAnsi"/>
        </w:rPr>
        <w:t>ly</w:t>
      </w:r>
      <w:r w:rsidR="000779B9" w:rsidRPr="007E4FCB">
        <w:rPr>
          <w:rFonts w:cstheme="minorHAnsi"/>
        </w:rPr>
        <w:t xml:space="preserve"> entered.</w:t>
      </w:r>
    </w:p>
    <w:p w:rsidR="00F55DEC" w:rsidRPr="007E4FCB" w:rsidRDefault="00F55DEC">
      <w:pPr>
        <w:rPr>
          <w:rFonts w:cstheme="minorHAnsi"/>
        </w:rPr>
      </w:pPr>
      <w:r w:rsidRPr="007E4FCB">
        <w:rPr>
          <w:rFonts w:cstheme="minorHAnsi"/>
        </w:rPr>
        <w:t>The</w:t>
      </w:r>
      <w:r w:rsidR="000779B9" w:rsidRPr="007E4FCB">
        <w:rPr>
          <w:rFonts w:cstheme="minorHAnsi"/>
        </w:rPr>
        <w:t xml:space="preserve"> </w:t>
      </w:r>
      <w:proofErr w:type="spellStart"/>
      <w:r w:rsidR="000779B9" w:rsidRPr="007E4FCB">
        <w:rPr>
          <w:rFonts w:cstheme="minorHAnsi"/>
        </w:rPr>
        <w:t>DataScanner</w:t>
      </w:r>
      <w:proofErr w:type="spellEnd"/>
      <w:r w:rsidR="000779B9" w:rsidRPr="007E4FCB">
        <w:rPr>
          <w:rFonts w:cstheme="minorHAnsi"/>
        </w:rPr>
        <w:t xml:space="preserve"> class takes in the</w:t>
      </w:r>
      <w:r w:rsidR="005578AA" w:rsidRPr="007E4FCB">
        <w:rPr>
          <w:rFonts w:cstheme="minorHAnsi"/>
        </w:rPr>
        <w:t xml:space="preserve"> relative</w:t>
      </w:r>
      <w:r w:rsidR="000779B9" w:rsidRPr="007E4FCB">
        <w:rPr>
          <w:rFonts w:cstheme="minorHAnsi"/>
        </w:rPr>
        <w:t xml:space="preserve"> file path for </w:t>
      </w:r>
      <w:proofErr w:type="spellStart"/>
      <w:r w:rsidR="000779B9" w:rsidRPr="007E4FCB">
        <w:rPr>
          <w:rFonts w:cstheme="minorHAnsi"/>
        </w:rPr>
        <w:t>adult.data</w:t>
      </w:r>
      <w:proofErr w:type="spellEnd"/>
      <w:r w:rsidR="000779B9" w:rsidRPr="007E4FCB">
        <w:rPr>
          <w:rFonts w:cstheme="minorHAnsi"/>
        </w:rPr>
        <w:t xml:space="preserve"> and </w:t>
      </w:r>
      <w:r w:rsidR="005578AA" w:rsidRPr="007E4FCB">
        <w:rPr>
          <w:rFonts w:cstheme="minorHAnsi"/>
        </w:rPr>
        <w:t xml:space="preserve">the </w:t>
      </w:r>
      <w:r w:rsidR="000779B9" w:rsidRPr="007E4FCB">
        <w:rPr>
          <w:rFonts w:cstheme="minorHAnsi"/>
        </w:rPr>
        <w:t>comma-separated attribute names. A 2D array was created to store</w:t>
      </w:r>
      <w:r w:rsidR="00B40FDC" w:rsidRPr="007E4FCB">
        <w:rPr>
          <w:rFonts w:cstheme="minorHAnsi"/>
        </w:rPr>
        <w:t xml:space="preserve"> the</w:t>
      </w:r>
      <w:r w:rsidR="000779B9" w:rsidRPr="007E4FCB">
        <w:rPr>
          <w:rFonts w:cstheme="minorHAnsi"/>
        </w:rPr>
        <w:t xml:space="preserve"> attribute names in the first row and </w:t>
      </w:r>
      <w:r w:rsidR="00B40FDC" w:rsidRPr="007E4FCB">
        <w:rPr>
          <w:rFonts w:cstheme="minorHAnsi"/>
        </w:rPr>
        <w:t xml:space="preserve">the </w:t>
      </w:r>
      <w:r w:rsidR="000779B9" w:rsidRPr="007E4FCB">
        <w:rPr>
          <w:rFonts w:cstheme="minorHAnsi"/>
        </w:rPr>
        <w:t>data points in the following rows.</w:t>
      </w:r>
    </w:p>
    <w:p w:rsidR="000779B9" w:rsidRPr="007E4FCB" w:rsidRDefault="000779B9">
      <w:pPr>
        <w:rPr>
          <w:rFonts w:cstheme="minorHAnsi"/>
        </w:rPr>
      </w:pPr>
      <w:r w:rsidRPr="007E4FCB">
        <w:rPr>
          <w:rFonts w:cstheme="minorHAnsi"/>
        </w:rPr>
        <w:t xml:space="preserve">The </w:t>
      </w:r>
      <w:proofErr w:type="spellStart"/>
      <w:r w:rsidRPr="007E4FCB">
        <w:rPr>
          <w:rFonts w:cstheme="minorHAnsi"/>
        </w:rPr>
        <w:t>MissingValueHandler</w:t>
      </w:r>
      <w:proofErr w:type="spellEnd"/>
      <w:r w:rsidRPr="007E4FCB">
        <w:rPr>
          <w:rFonts w:cstheme="minorHAnsi"/>
        </w:rPr>
        <w:t xml:space="preserve"> class tak</w:t>
      </w:r>
      <w:r w:rsidR="005578AA" w:rsidRPr="007E4FCB">
        <w:rPr>
          <w:rFonts w:cstheme="minorHAnsi"/>
        </w:rPr>
        <w:t>es in the data frame. I</w:t>
      </w:r>
      <w:r w:rsidRPr="007E4FCB">
        <w:rPr>
          <w:rFonts w:cstheme="minorHAnsi"/>
        </w:rPr>
        <w:t>nstances of missing values</w:t>
      </w:r>
      <w:r w:rsidR="00B40FDC" w:rsidRPr="007E4FCB">
        <w:rPr>
          <w:rFonts w:cstheme="minorHAnsi"/>
        </w:rPr>
        <w:t xml:space="preserve"> for </w:t>
      </w:r>
      <w:proofErr w:type="spellStart"/>
      <w:r w:rsidR="00B40FDC" w:rsidRPr="007E4FCB">
        <w:rPr>
          <w:rFonts w:cstheme="minorHAnsi"/>
        </w:rPr>
        <w:t>for</w:t>
      </w:r>
      <w:proofErr w:type="spellEnd"/>
      <w:r w:rsidRPr="007E4FCB">
        <w:rPr>
          <w:rFonts w:cstheme="minorHAnsi"/>
        </w:rPr>
        <w:t xml:space="preserve"> attributes</w:t>
      </w:r>
      <w:r w:rsidR="005578AA" w:rsidRPr="007E4FCB">
        <w:rPr>
          <w:rFonts w:cstheme="minorHAnsi"/>
        </w:rPr>
        <w:t xml:space="preserve"> are counted</w:t>
      </w:r>
      <w:r w:rsidRPr="007E4FCB">
        <w:rPr>
          <w:rFonts w:cstheme="minorHAnsi"/>
        </w:rPr>
        <w:t>. Because</w:t>
      </w:r>
      <w:r w:rsidR="005578AA" w:rsidRPr="007E4FCB">
        <w:rPr>
          <w:rFonts w:cstheme="minorHAnsi"/>
        </w:rPr>
        <w:t xml:space="preserve"> in </w:t>
      </w:r>
      <w:proofErr w:type="spellStart"/>
      <w:r w:rsidR="005578AA" w:rsidRPr="007E4FCB">
        <w:rPr>
          <w:rFonts w:cstheme="minorHAnsi"/>
        </w:rPr>
        <w:t>adult.data</w:t>
      </w:r>
      <w:proofErr w:type="spellEnd"/>
      <w:r w:rsidR="005578AA" w:rsidRPr="007E4FCB">
        <w:rPr>
          <w:rFonts w:cstheme="minorHAnsi"/>
        </w:rPr>
        <w:t>,</w:t>
      </w:r>
      <w:r w:rsidRPr="007E4FCB">
        <w:rPr>
          <w:rFonts w:cstheme="minorHAnsi"/>
        </w:rPr>
        <w:t xml:space="preserve"> </w:t>
      </w:r>
      <w:r w:rsidR="00134710" w:rsidRPr="007E4FCB">
        <w:rPr>
          <w:rFonts w:cstheme="minorHAnsi"/>
        </w:rPr>
        <w:t xml:space="preserve">all </w:t>
      </w:r>
      <w:r w:rsidRPr="007E4FCB">
        <w:rPr>
          <w:rFonts w:cstheme="minorHAnsi"/>
        </w:rPr>
        <w:t xml:space="preserve">missing values are for nonnumeric attributes and </w:t>
      </w:r>
      <w:r w:rsidR="00134710" w:rsidRPr="007E4FCB">
        <w:rPr>
          <w:rFonts w:cstheme="minorHAnsi"/>
        </w:rPr>
        <w:t>are small in counts, we simply delete</w:t>
      </w:r>
      <w:r w:rsidR="000D0A9F" w:rsidRPr="007E4FCB">
        <w:rPr>
          <w:rFonts w:cstheme="minorHAnsi"/>
        </w:rPr>
        <w:t xml:space="preserve"> all</w:t>
      </w:r>
      <w:r w:rsidR="00134710" w:rsidRPr="007E4FCB">
        <w:rPr>
          <w:rFonts w:cstheme="minorHAnsi"/>
        </w:rPr>
        <w:t xml:space="preserve"> rows with missing values.</w:t>
      </w:r>
    </w:p>
    <w:p w:rsidR="00134710" w:rsidRPr="007E4FCB" w:rsidRDefault="00134710">
      <w:pPr>
        <w:rPr>
          <w:rFonts w:cstheme="minorHAnsi"/>
        </w:rPr>
      </w:pPr>
      <w:r w:rsidRPr="007E4FCB">
        <w:rPr>
          <w:rFonts w:cstheme="minorHAnsi"/>
        </w:rPr>
        <w:t xml:space="preserve">The </w:t>
      </w:r>
      <w:proofErr w:type="spellStart"/>
      <w:r w:rsidRPr="007E4FCB">
        <w:rPr>
          <w:rFonts w:cstheme="minorHAnsi"/>
        </w:rPr>
        <w:t>HierarchySort</w:t>
      </w:r>
      <w:proofErr w:type="spellEnd"/>
      <w:r w:rsidRPr="007E4FCB">
        <w:rPr>
          <w:rFonts w:cstheme="minorHAnsi"/>
        </w:rPr>
        <w:t xml:space="preserve"> c</w:t>
      </w:r>
      <w:r w:rsidR="006D0A31" w:rsidRPr="007E4FCB">
        <w:rPr>
          <w:rFonts w:cstheme="minorHAnsi"/>
        </w:rPr>
        <w:t xml:space="preserve">lass takes in the data frame and </w:t>
      </w:r>
      <w:r w:rsidR="005578AA" w:rsidRPr="007E4FCB">
        <w:rPr>
          <w:rFonts w:cstheme="minorHAnsi"/>
        </w:rPr>
        <w:t xml:space="preserve">the </w:t>
      </w:r>
      <w:r w:rsidR="006D0A31" w:rsidRPr="007E4FCB">
        <w:rPr>
          <w:rFonts w:cstheme="minorHAnsi"/>
        </w:rPr>
        <w:t xml:space="preserve">numeric concept hierarchy names and </w:t>
      </w:r>
      <w:proofErr w:type="spellStart"/>
      <w:r w:rsidR="00A855F7" w:rsidRPr="007E4FCB">
        <w:rPr>
          <w:rFonts w:cstheme="minorHAnsi"/>
        </w:rPr>
        <w:t>discretized</w:t>
      </w:r>
      <w:proofErr w:type="spellEnd"/>
      <w:r w:rsidR="006D0A31" w:rsidRPr="007E4FCB">
        <w:rPr>
          <w:rFonts w:cstheme="minorHAnsi"/>
        </w:rPr>
        <w:t xml:space="preserve"> numeric </w:t>
      </w:r>
      <w:proofErr w:type="spellStart"/>
      <w:r w:rsidR="006D0A31" w:rsidRPr="007E4FCB">
        <w:rPr>
          <w:rFonts w:cstheme="minorHAnsi"/>
        </w:rPr>
        <w:t>nonbinary</w:t>
      </w:r>
      <w:proofErr w:type="spellEnd"/>
      <w:r w:rsidR="006D0A31" w:rsidRPr="007E4FCB">
        <w:rPr>
          <w:rFonts w:cstheme="minorHAnsi"/>
        </w:rPr>
        <w:t xml:space="preserve"> attributes as “low”, “medium”, or “high”.</w:t>
      </w:r>
    </w:p>
    <w:p w:rsidR="00666FB5" w:rsidRPr="007E4FCB" w:rsidRDefault="006D0A31">
      <w:pPr>
        <w:rPr>
          <w:rFonts w:cstheme="minorHAnsi"/>
        </w:rPr>
      </w:pPr>
      <w:r w:rsidRPr="007E4FCB">
        <w:rPr>
          <w:rFonts w:cstheme="minorHAnsi"/>
        </w:rPr>
        <w:t xml:space="preserve">The frequent pattern mining algorithm takes in </w:t>
      </w:r>
      <w:r w:rsidR="005578AA" w:rsidRPr="007E4FCB">
        <w:rPr>
          <w:rFonts w:cstheme="minorHAnsi"/>
        </w:rPr>
        <w:t xml:space="preserve">the data frame and the </w:t>
      </w:r>
      <w:r w:rsidRPr="007E4FCB">
        <w:rPr>
          <w:rFonts w:cstheme="minorHAnsi"/>
        </w:rPr>
        <w:t>support count value</w:t>
      </w:r>
      <w:r w:rsidR="005578AA" w:rsidRPr="007E4FCB">
        <w:rPr>
          <w:rFonts w:cstheme="minorHAnsi"/>
        </w:rPr>
        <w:t xml:space="preserve"> and finds frequent patterns.</w:t>
      </w:r>
    </w:p>
    <w:p w:rsidR="00A77CFB" w:rsidRPr="007E4FCB" w:rsidRDefault="00C92FF5">
      <w:pPr>
        <w:rPr>
          <w:rFonts w:cstheme="minorHAnsi"/>
        </w:rPr>
      </w:pPr>
      <w:r w:rsidRPr="007E4FCB">
        <w:rPr>
          <w:rFonts w:cstheme="minorHAnsi"/>
          <w:b/>
        </w:rPr>
        <w:t>Analysis</w:t>
      </w:r>
      <w:r w:rsidRPr="007E4FCB">
        <w:rPr>
          <w:rFonts w:cstheme="minorHAnsi"/>
        </w:rPr>
        <w:t>:</w:t>
      </w:r>
    </w:p>
    <w:p w:rsidR="00A77CFB" w:rsidRPr="007E4FCB" w:rsidRDefault="00A77CFB">
      <w:pPr>
        <w:rPr>
          <w:rFonts w:cstheme="minorHAnsi"/>
        </w:rPr>
      </w:pPr>
      <w:r w:rsidRPr="007E4FCB">
        <w:rPr>
          <w:rFonts w:cstheme="minorHAnsi"/>
        </w:rPr>
        <w:t>I originally implemented all three algorithms in one run. However, the garbage collection generated by each algorithm seemed to impact the runtime for the following algorithm. I then implemented all three algorithms individually.</w:t>
      </w:r>
    </w:p>
    <w:p w:rsidR="00C92FF5" w:rsidRPr="007E4FCB" w:rsidRDefault="009B5AE8">
      <w:pPr>
        <w:rPr>
          <w:rFonts w:cstheme="minorHAnsi"/>
        </w:rPr>
      </w:pPr>
      <w:r w:rsidRPr="007E4FCB">
        <w:rPr>
          <w:rFonts w:cstheme="minorHAnsi"/>
        </w:rPr>
        <w:t>Runtimes were recorded six</w:t>
      </w:r>
      <w:r w:rsidR="00C92FF5" w:rsidRPr="007E4FCB">
        <w:rPr>
          <w:rFonts w:cstheme="minorHAnsi"/>
        </w:rPr>
        <w:t xml:space="preserve"> times for all algorithms for accuracy.</w:t>
      </w:r>
      <w:r w:rsidR="00186A16" w:rsidRPr="007E4FCB">
        <w:rPr>
          <w:rFonts w:cstheme="minorHAnsi"/>
        </w:rPr>
        <w:t xml:space="preserve"> The average runtimes and the natural logs of the average runtimes are located below.</w:t>
      </w:r>
    </w:p>
    <w:tbl>
      <w:tblPr>
        <w:tblW w:w="9270" w:type="dxa"/>
        <w:tblInd w:w="108" w:type="dxa"/>
        <w:tblLook w:val="04A0"/>
      </w:tblPr>
      <w:tblGrid>
        <w:gridCol w:w="1063"/>
        <w:gridCol w:w="2267"/>
        <w:gridCol w:w="2610"/>
        <w:gridCol w:w="3330"/>
      </w:tblGrid>
      <w:tr w:rsidR="00A77CFB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CFB" w:rsidRPr="007E4FCB" w:rsidRDefault="009B5AE8">
            <w:pPr>
              <w:rPr>
                <w:rFonts w:cstheme="minorHAnsi"/>
                <w:color w:val="000000"/>
              </w:rPr>
            </w:pPr>
            <w:r w:rsidRPr="007E4FCB">
              <w:rPr>
                <w:rFonts w:cstheme="minorHAnsi"/>
                <w:color w:val="000000"/>
              </w:rPr>
              <w:t>S</w:t>
            </w:r>
            <w:r w:rsidR="00A77CFB" w:rsidRPr="007E4FCB">
              <w:rPr>
                <w:rFonts w:cstheme="minorHAnsi"/>
                <w:color w:val="000000"/>
              </w:rPr>
              <w:t>upport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CFB" w:rsidRPr="007E4FCB" w:rsidRDefault="00A77CFB">
            <w:pPr>
              <w:rPr>
                <w:rFonts w:cstheme="minorHAnsi"/>
                <w:color w:val="000000"/>
              </w:rPr>
            </w:pPr>
            <w:proofErr w:type="spellStart"/>
            <w:r w:rsidRPr="007E4FCB">
              <w:rPr>
                <w:rFonts w:cstheme="minorHAnsi"/>
                <w:color w:val="000000"/>
              </w:rPr>
              <w:t>Apriori</w:t>
            </w:r>
            <w:proofErr w:type="spellEnd"/>
            <w:r w:rsidR="009B5AE8" w:rsidRPr="007E4FCB">
              <w:rPr>
                <w:rFonts w:cstheme="minorHAnsi"/>
                <w:color w:val="000000"/>
              </w:rPr>
              <w:t xml:space="preserve"> Runtime (in ns)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CFB" w:rsidRPr="007E4FCB" w:rsidRDefault="009B5AE8">
            <w:pPr>
              <w:rPr>
                <w:rFonts w:cstheme="minorHAnsi"/>
                <w:color w:val="000000"/>
              </w:rPr>
            </w:pPr>
            <w:r w:rsidRPr="007E4FCB">
              <w:rPr>
                <w:rFonts w:cstheme="minorHAnsi"/>
                <w:color w:val="000000"/>
              </w:rPr>
              <w:t>FP-Growth Runtime (in ns)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CFB" w:rsidRPr="007E4FCB" w:rsidRDefault="009B5AE8">
            <w:pPr>
              <w:rPr>
                <w:rFonts w:cstheme="minorHAnsi"/>
                <w:color w:val="000000"/>
              </w:rPr>
            </w:pPr>
            <w:r w:rsidRPr="007E4FCB">
              <w:rPr>
                <w:rFonts w:cstheme="minorHAnsi"/>
                <w:color w:val="000000"/>
              </w:rPr>
              <w:t xml:space="preserve">Improved </w:t>
            </w:r>
            <w:proofErr w:type="spellStart"/>
            <w:r w:rsidRPr="007E4FCB">
              <w:rPr>
                <w:rFonts w:cstheme="minorHAnsi"/>
                <w:color w:val="000000"/>
              </w:rPr>
              <w:t>Apriori</w:t>
            </w:r>
            <w:proofErr w:type="spellEnd"/>
            <w:r w:rsidRPr="007E4FCB">
              <w:rPr>
                <w:rFonts w:cstheme="minorHAnsi"/>
                <w:color w:val="000000"/>
              </w:rPr>
              <w:t xml:space="preserve"> Runtime (in ns)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0.15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3.94233E+11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69329210660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3.90845E+11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1.5791E+11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44644648226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1.54258E+11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0.25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81624877393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32840825456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78399164130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0.35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32569431278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16526595672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29309070326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lastRenderedPageBreak/>
              <w:t>0.45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14637015026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8301331909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12881264912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0.55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9779264941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6759628153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8194790079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0.65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5447379244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4935631035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4645994304</w:t>
            </w:r>
          </w:p>
        </w:tc>
      </w:tr>
      <w:tr w:rsidR="009B5AE8" w:rsidRPr="007E4FCB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0.75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4407473858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3852866603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7E4FCB" w:rsidRDefault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7E4FCB">
              <w:rPr>
                <w:rFonts w:ascii="Consolas" w:hAnsi="Consolas" w:cs="Calibri"/>
                <w:color w:val="000000"/>
              </w:rPr>
              <w:t>3789249584</w:t>
            </w:r>
          </w:p>
        </w:tc>
      </w:tr>
      <w:tr w:rsidR="009B5AE8" w:rsidRPr="009B5AE8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0.85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3685973830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1689335326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3041088067</w:t>
            </w:r>
          </w:p>
        </w:tc>
      </w:tr>
      <w:tr w:rsidR="009B5AE8" w:rsidRPr="009B5AE8" w:rsidTr="009B5AE8">
        <w:trPr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0.95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2662469406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976664846.8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AE8" w:rsidRPr="009B5AE8" w:rsidRDefault="009B5AE8" w:rsidP="009B5AE8">
            <w:pPr>
              <w:jc w:val="right"/>
              <w:rPr>
                <w:rFonts w:ascii="Consolas" w:hAnsi="Consolas" w:cs="Calibri"/>
                <w:color w:val="000000"/>
              </w:rPr>
            </w:pPr>
            <w:r w:rsidRPr="009B5AE8">
              <w:rPr>
                <w:rFonts w:ascii="Consolas" w:hAnsi="Consolas" w:cs="Calibri"/>
                <w:color w:val="000000"/>
              </w:rPr>
              <w:t>2224388452</w:t>
            </w:r>
          </w:p>
        </w:tc>
      </w:tr>
    </w:tbl>
    <w:p w:rsidR="009B5AE8" w:rsidRPr="007E4FCB" w:rsidRDefault="009B5AE8">
      <w:pPr>
        <w:rPr>
          <w:rFonts w:cstheme="minorHAnsi"/>
        </w:rPr>
      </w:pPr>
    </w:p>
    <w:p w:rsidR="00A855F7" w:rsidRPr="007E4FCB" w:rsidRDefault="009B5AE8">
      <w:pPr>
        <w:rPr>
          <w:rFonts w:cstheme="minorHAnsi"/>
        </w:rPr>
      </w:pPr>
      <w:r w:rsidRPr="007E4FCB">
        <w:rPr>
          <w:rFonts w:cstheme="minorHAnsi"/>
        </w:rPr>
        <w:drawing>
          <wp:inline distT="0" distB="0" distL="0" distR="0">
            <wp:extent cx="5842690" cy="2957885"/>
            <wp:effectExtent l="19050" t="0" r="2471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6CD4" w:rsidRPr="007E4FCB" w:rsidRDefault="009B5AE8">
      <w:pPr>
        <w:rPr>
          <w:rFonts w:cstheme="minorHAnsi"/>
        </w:rPr>
      </w:pPr>
      <w:r w:rsidRPr="007E4FCB">
        <w:rPr>
          <w:rFonts w:cstheme="minorHAnsi"/>
          <w:noProof/>
        </w:rPr>
        <w:lastRenderedPageBreak/>
        <w:drawing>
          <wp:inline distT="0" distB="0" distL="0" distR="0">
            <wp:extent cx="5844801" cy="2809409"/>
            <wp:effectExtent l="19050" t="0" r="22599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4D73" w:rsidRPr="007E4FCB" w:rsidRDefault="00EE0F65" w:rsidP="00A77CFB">
      <w:pPr>
        <w:rPr>
          <w:rFonts w:cstheme="minorHAnsi"/>
        </w:rPr>
      </w:pPr>
      <w:r w:rsidRPr="007E4FCB">
        <w:rPr>
          <w:rFonts w:cstheme="minorHAnsi"/>
        </w:rPr>
        <w:t>The</w:t>
      </w:r>
      <w:r w:rsidR="00A63269" w:rsidRPr="007E4FCB">
        <w:rPr>
          <w:rFonts w:cstheme="minorHAnsi"/>
        </w:rPr>
        <w:t xml:space="preserve"> improvement of</w:t>
      </w:r>
      <w:r w:rsidR="00C979CD" w:rsidRPr="007E4FCB">
        <w:rPr>
          <w:rFonts w:cstheme="minorHAnsi"/>
        </w:rPr>
        <w:t xml:space="preserve"> improved </w:t>
      </w:r>
      <w:proofErr w:type="spellStart"/>
      <w:r w:rsidR="00C979CD" w:rsidRPr="007E4FCB">
        <w:rPr>
          <w:rFonts w:cstheme="minorHAnsi"/>
        </w:rPr>
        <w:t>Apriori</w:t>
      </w:r>
      <w:proofErr w:type="spellEnd"/>
      <w:r w:rsidR="00C979CD" w:rsidRPr="007E4FCB">
        <w:rPr>
          <w:rFonts w:cstheme="minorHAnsi"/>
        </w:rPr>
        <w:t xml:space="preserve"> pertains</w:t>
      </w:r>
      <w:r w:rsidR="00A63269" w:rsidRPr="007E4FCB">
        <w:rPr>
          <w:rFonts w:cstheme="minorHAnsi"/>
        </w:rPr>
        <w:t xml:space="preserve"> to transaction reduction.</w:t>
      </w:r>
      <w:r w:rsidR="006140A1" w:rsidRPr="007E4FCB">
        <w:rPr>
          <w:rFonts w:cstheme="minorHAnsi"/>
        </w:rPr>
        <w:t xml:space="preserve"> For improved </w:t>
      </w:r>
      <w:proofErr w:type="spellStart"/>
      <w:r w:rsidR="006140A1" w:rsidRPr="007E4FCB">
        <w:rPr>
          <w:rFonts w:cstheme="minorHAnsi"/>
        </w:rPr>
        <w:t>Apriori</w:t>
      </w:r>
      <w:proofErr w:type="spellEnd"/>
      <w:r w:rsidR="006140A1" w:rsidRPr="007E4FCB">
        <w:rPr>
          <w:rFonts w:cstheme="minorHAnsi"/>
        </w:rPr>
        <w:t>, e</w:t>
      </w:r>
      <w:r w:rsidRPr="007E4FCB">
        <w:rPr>
          <w:rFonts w:cstheme="minorHAnsi"/>
        </w:rPr>
        <w:t>very</w:t>
      </w:r>
      <w:r w:rsidR="0094098C" w:rsidRPr="007E4FCB">
        <w:rPr>
          <w:rFonts w:cstheme="minorHAnsi"/>
        </w:rPr>
        <w:t xml:space="preserve"> transaction line</w:t>
      </w:r>
      <w:r w:rsidRPr="007E4FCB">
        <w:rPr>
          <w:rFonts w:cstheme="minorHAnsi"/>
        </w:rPr>
        <w:t xml:space="preserve"> is parsed once into a 2D array before scanning</w:t>
      </w:r>
      <w:r w:rsidR="006140A1" w:rsidRPr="007E4FCB">
        <w:rPr>
          <w:rFonts w:cstheme="minorHAnsi"/>
        </w:rPr>
        <w:t>, which is</w:t>
      </w:r>
      <w:r w:rsidRPr="007E4FCB">
        <w:rPr>
          <w:rFonts w:cstheme="minorHAnsi"/>
        </w:rPr>
        <w:t xml:space="preserve"> </w:t>
      </w:r>
      <w:r w:rsidR="006140A1" w:rsidRPr="007E4FCB">
        <w:rPr>
          <w:rFonts w:cstheme="minorHAnsi"/>
        </w:rPr>
        <w:t>different from</w:t>
      </w:r>
      <w:r w:rsidRPr="007E4FCB">
        <w:rPr>
          <w:rFonts w:cstheme="minorHAnsi"/>
        </w:rPr>
        <w:t xml:space="preserve"> </w:t>
      </w:r>
      <w:r w:rsidR="00A855F7" w:rsidRPr="007E4FCB">
        <w:rPr>
          <w:rFonts w:cstheme="minorHAnsi"/>
        </w:rPr>
        <w:t xml:space="preserve">classical </w:t>
      </w:r>
      <w:proofErr w:type="spellStart"/>
      <w:r w:rsidR="00A855F7" w:rsidRPr="007E4FCB">
        <w:rPr>
          <w:rFonts w:cstheme="minorHAnsi"/>
        </w:rPr>
        <w:t>Apriori</w:t>
      </w:r>
      <w:proofErr w:type="spellEnd"/>
      <w:r w:rsidR="006140A1" w:rsidRPr="007E4FCB">
        <w:rPr>
          <w:rFonts w:cstheme="minorHAnsi"/>
        </w:rPr>
        <w:t xml:space="preserve">, for which one individual transaction line is </w:t>
      </w:r>
      <w:r w:rsidRPr="007E4FCB">
        <w:rPr>
          <w:rFonts w:cstheme="minorHAnsi"/>
        </w:rPr>
        <w:t>parsed after scanning</w:t>
      </w:r>
      <w:r w:rsidR="006140A1" w:rsidRPr="007E4FCB">
        <w:rPr>
          <w:rFonts w:cstheme="minorHAnsi"/>
        </w:rPr>
        <w:t xml:space="preserve"> and subjected to candidate generation</w:t>
      </w:r>
      <w:r w:rsidR="00A63269" w:rsidRPr="007E4FCB">
        <w:rPr>
          <w:rFonts w:cstheme="minorHAnsi"/>
        </w:rPr>
        <w:t>.</w:t>
      </w:r>
      <w:r w:rsidR="00E2686F" w:rsidRPr="007E4FCB">
        <w:rPr>
          <w:rFonts w:cstheme="minorHAnsi"/>
        </w:rPr>
        <w:t xml:space="preserve"> </w:t>
      </w:r>
      <w:r w:rsidR="006140A1" w:rsidRPr="007E4FCB">
        <w:rPr>
          <w:rFonts w:cstheme="minorHAnsi"/>
        </w:rPr>
        <w:t xml:space="preserve">Since information about every transaction line is accessible before scanning, we can mark which </w:t>
      </w:r>
      <w:r w:rsidR="00237B3C" w:rsidRPr="007E4FCB">
        <w:rPr>
          <w:rFonts w:cstheme="minorHAnsi"/>
        </w:rPr>
        <w:t>transaction lines</w:t>
      </w:r>
      <w:r w:rsidR="006140A1" w:rsidRPr="007E4FCB">
        <w:rPr>
          <w:rFonts w:cstheme="minorHAnsi"/>
        </w:rPr>
        <w:t xml:space="preserve"> </w:t>
      </w:r>
      <w:r w:rsidR="0069596C" w:rsidRPr="007E4FCB">
        <w:rPr>
          <w:rFonts w:cstheme="minorHAnsi"/>
        </w:rPr>
        <w:t>lack</w:t>
      </w:r>
      <w:r w:rsidR="006140A1" w:rsidRPr="007E4FCB">
        <w:rPr>
          <w:rFonts w:cstheme="minorHAnsi"/>
        </w:rPr>
        <w:t xml:space="preserve"> </w:t>
      </w:r>
      <w:r w:rsidR="0069596C" w:rsidRPr="007E4FCB">
        <w:rPr>
          <w:rFonts w:cstheme="minorHAnsi"/>
        </w:rPr>
        <w:t>in</w:t>
      </w:r>
      <w:r w:rsidR="006140A1" w:rsidRPr="007E4FCB">
        <w:rPr>
          <w:rFonts w:cstheme="minorHAnsi"/>
        </w:rPr>
        <w:t xml:space="preserve">frequent </w:t>
      </w:r>
      <w:proofErr w:type="spellStart"/>
      <w:r w:rsidR="006140A1" w:rsidRPr="007E4FCB">
        <w:rPr>
          <w:rFonts w:cstheme="minorHAnsi"/>
        </w:rPr>
        <w:t>itemsets</w:t>
      </w:r>
      <w:proofErr w:type="spellEnd"/>
      <w:r w:rsidR="006140A1" w:rsidRPr="007E4FCB">
        <w:rPr>
          <w:rFonts w:cstheme="minorHAnsi"/>
        </w:rPr>
        <w:t xml:space="preserve"> and therefore will undergo candidate generation</w:t>
      </w:r>
      <w:r w:rsidR="00237B3C" w:rsidRPr="007E4FCB">
        <w:rPr>
          <w:rFonts w:cstheme="minorHAnsi"/>
        </w:rPr>
        <w:t xml:space="preserve"> and which transaction lines </w:t>
      </w:r>
      <w:r w:rsidR="0069596C" w:rsidRPr="007E4FCB">
        <w:rPr>
          <w:rFonts w:cstheme="minorHAnsi"/>
        </w:rPr>
        <w:t>contain in</w:t>
      </w:r>
      <w:r w:rsidR="00237B3C" w:rsidRPr="007E4FCB">
        <w:rPr>
          <w:rFonts w:cstheme="minorHAnsi"/>
        </w:rPr>
        <w:t xml:space="preserve">frequent </w:t>
      </w:r>
      <w:proofErr w:type="spellStart"/>
      <w:r w:rsidR="00237B3C" w:rsidRPr="007E4FCB">
        <w:rPr>
          <w:rFonts w:cstheme="minorHAnsi"/>
        </w:rPr>
        <w:t>itemsets</w:t>
      </w:r>
      <w:proofErr w:type="spellEnd"/>
      <w:r w:rsidR="00237B3C" w:rsidRPr="007E4FCB">
        <w:rPr>
          <w:rFonts w:cstheme="minorHAnsi"/>
        </w:rPr>
        <w:t xml:space="preserve"> will skip candidate</w:t>
      </w:r>
      <w:r w:rsidR="00FF7ABC" w:rsidRPr="007E4FCB">
        <w:rPr>
          <w:rFonts w:cstheme="minorHAnsi"/>
        </w:rPr>
        <w:t xml:space="preserve"> generation</w:t>
      </w:r>
      <w:r w:rsidR="006140A1" w:rsidRPr="007E4FCB">
        <w:rPr>
          <w:rFonts w:cstheme="minorHAnsi"/>
        </w:rPr>
        <w:t>.</w:t>
      </w:r>
      <w:r w:rsidR="00332A45" w:rsidRPr="007E4FCB">
        <w:rPr>
          <w:rFonts w:cstheme="minorHAnsi"/>
        </w:rPr>
        <w:t xml:space="preserve"> </w:t>
      </w:r>
      <w:r w:rsidR="00AF045D" w:rsidRPr="007E4FCB">
        <w:rPr>
          <w:rFonts w:cstheme="minorHAnsi"/>
        </w:rPr>
        <w:t xml:space="preserve">Because candidate generation is expensive, improved </w:t>
      </w:r>
      <w:proofErr w:type="spellStart"/>
      <w:r w:rsidR="00AF045D" w:rsidRPr="007E4FCB">
        <w:rPr>
          <w:rFonts w:cstheme="minorHAnsi"/>
        </w:rPr>
        <w:t>Apriori</w:t>
      </w:r>
      <w:proofErr w:type="spellEnd"/>
      <w:r w:rsidR="00AF045D" w:rsidRPr="007E4FCB">
        <w:rPr>
          <w:rFonts w:cstheme="minorHAnsi"/>
        </w:rPr>
        <w:t xml:space="preserve"> is faster than classical </w:t>
      </w:r>
      <w:proofErr w:type="spellStart"/>
      <w:r w:rsidR="00AF045D" w:rsidRPr="007E4FCB">
        <w:rPr>
          <w:rFonts w:cstheme="minorHAnsi"/>
        </w:rPr>
        <w:t>Apriori</w:t>
      </w:r>
      <w:proofErr w:type="spellEnd"/>
      <w:r w:rsidR="00E567ED" w:rsidRPr="007E4FCB">
        <w:rPr>
          <w:rFonts w:cstheme="minorHAnsi"/>
        </w:rPr>
        <w:t>.</w:t>
      </w:r>
    </w:p>
    <w:p w:rsidR="0072431A" w:rsidRPr="007E4FCB" w:rsidRDefault="0072431A" w:rsidP="00A77CFB">
      <w:pPr>
        <w:rPr>
          <w:rFonts w:cstheme="minorHAnsi"/>
        </w:rPr>
      </w:pPr>
      <w:r w:rsidRPr="007E4FCB">
        <w:rPr>
          <w:rFonts w:cstheme="minorHAnsi"/>
        </w:rPr>
        <w:drawing>
          <wp:inline distT="0" distB="0" distL="0" distR="0">
            <wp:extent cx="5842690" cy="3442915"/>
            <wp:effectExtent l="19050" t="0" r="24710" b="5135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E4FCB">
        <w:rPr>
          <w:rFonts w:cstheme="minorHAnsi"/>
        </w:rPr>
        <w:t xml:space="preserve"> </w:t>
      </w:r>
    </w:p>
    <w:p w:rsidR="0072431A" w:rsidRPr="007E4FCB" w:rsidRDefault="0072431A" w:rsidP="00A77CFB">
      <w:pPr>
        <w:rPr>
          <w:rFonts w:cstheme="minorHAnsi"/>
        </w:rPr>
      </w:pPr>
      <w:r w:rsidRPr="007E4FCB">
        <w:rPr>
          <w:rFonts w:cstheme="minorHAnsi"/>
        </w:rPr>
        <w:lastRenderedPageBreak/>
        <w:t xml:space="preserve">The magnitude of improvement for improved </w:t>
      </w:r>
      <w:proofErr w:type="spellStart"/>
      <w:r w:rsidRPr="007E4FCB">
        <w:rPr>
          <w:rFonts w:cstheme="minorHAnsi"/>
        </w:rPr>
        <w:t>Apriori</w:t>
      </w:r>
      <w:proofErr w:type="spellEnd"/>
      <w:r w:rsidRPr="007E4FCB">
        <w:rPr>
          <w:rFonts w:cstheme="minorHAnsi"/>
        </w:rPr>
        <w:t xml:space="preserve"> decreases as the support decreases.  This behavior can be attributed to the fact that less support results in less infrequent </w:t>
      </w:r>
      <w:proofErr w:type="spellStart"/>
      <w:r w:rsidRPr="007E4FCB">
        <w:rPr>
          <w:rFonts w:cstheme="minorHAnsi"/>
        </w:rPr>
        <w:t>itemsets</w:t>
      </w:r>
      <w:proofErr w:type="spellEnd"/>
      <w:r w:rsidRPr="007E4FCB">
        <w:rPr>
          <w:rFonts w:cstheme="minorHAnsi"/>
        </w:rPr>
        <w:t xml:space="preserve"> to be marked for skipping candidate generation. There are some deviations in the overall trend, noticeably at support</w:t>
      </w:r>
      <w:r w:rsidR="00DE5445" w:rsidRPr="007E4FCB">
        <w:rPr>
          <w:rFonts w:cstheme="minorHAnsi"/>
        </w:rPr>
        <w:t>s</w:t>
      </w:r>
      <w:r w:rsidRPr="007E4FCB">
        <w:rPr>
          <w:rFonts w:cstheme="minorHAnsi"/>
        </w:rPr>
        <w:t xml:space="preserve"> 0.55 and 0.85</w:t>
      </w:r>
      <w:r w:rsidR="00DE5445" w:rsidRPr="007E4FCB">
        <w:rPr>
          <w:rFonts w:cstheme="minorHAnsi"/>
        </w:rPr>
        <w:t xml:space="preserve">, which could either be due to the low number of trials resulting in high variance in runtimes or be due to the </w:t>
      </w:r>
      <w:proofErr w:type="spellStart"/>
      <w:r w:rsidR="00DE5445" w:rsidRPr="007E4FCB">
        <w:rPr>
          <w:rFonts w:cstheme="minorHAnsi"/>
        </w:rPr>
        <w:t>discretization</w:t>
      </w:r>
      <w:proofErr w:type="spellEnd"/>
      <w:r w:rsidR="00DE5445" w:rsidRPr="007E4FCB">
        <w:rPr>
          <w:rFonts w:cstheme="minorHAnsi"/>
        </w:rPr>
        <w:t xml:space="preserve"> of continuous data points biasing toward certain frequent patterns (such that less infrequent </w:t>
      </w:r>
      <w:proofErr w:type="spellStart"/>
      <w:r w:rsidR="00DE5445" w:rsidRPr="007E4FCB">
        <w:rPr>
          <w:rFonts w:cstheme="minorHAnsi"/>
        </w:rPr>
        <w:t>itemsets</w:t>
      </w:r>
      <w:proofErr w:type="spellEnd"/>
      <w:r w:rsidR="00DE5445" w:rsidRPr="007E4FCB">
        <w:rPr>
          <w:rFonts w:cstheme="minorHAnsi"/>
        </w:rPr>
        <w:t xml:space="preserve"> are marked for skipping candidate generation) </w:t>
      </w:r>
      <w:r w:rsidR="00AF045D" w:rsidRPr="007E4FCB">
        <w:rPr>
          <w:rFonts w:cstheme="minorHAnsi"/>
        </w:rPr>
        <w:t>at different supports</w:t>
      </w:r>
      <w:r w:rsidR="00DE5445" w:rsidRPr="007E4FCB">
        <w:rPr>
          <w:rFonts w:cstheme="minorHAnsi"/>
        </w:rPr>
        <w:t>.</w:t>
      </w:r>
    </w:p>
    <w:p w:rsidR="0072431A" w:rsidRPr="007E4FCB" w:rsidRDefault="00116987" w:rsidP="00116987">
      <w:pPr>
        <w:rPr>
          <w:rFonts w:cstheme="minorHAnsi"/>
        </w:rPr>
      </w:pPr>
      <w:r w:rsidRPr="007E4FCB">
        <w:rPr>
          <w:rFonts w:cstheme="minorHAnsi"/>
        </w:rPr>
        <w:t>The runtime</w:t>
      </w:r>
      <w:r w:rsidR="00A855F7" w:rsidRPr="007E4FCB">
        <w:rPr>
          <w:rFonts w:cstheme="minorHAnsi"/>
        </w:rPr>
        <w:t>s</w:t>
      </w:r>
      <w:r w:rsidRPr="007E4FCB">
        <w:rPr>
          <w:rFonts w:cstheme="minorHAnsi"/>
        </w:rPr>
        <w:t xml:space="preserve"> for FP-gro</w:t>
      </w:r>
      <w:r w:rsidR="00A855F7" w:rsidRPr="007E4FCB">
        <w:rPr>
          <w:rFonts w:cstheme="minorHAnsi"/>
        </w:rPr>
        <w:t>wth were</w:t>
      </w:r>
      <w:r w:rsidRPr="007E4FCB">
        <w:rPr>
          <w:rFonts w:cstheme="minorHAnsi"/>
        </w:rPr>
        <w:t xml:space="preserve"> the lowest </w:t>
      </w:r>
      <w:r w:rsidR="00D6030A" w:rsidRPr="007E4FCB">
        <w:rPr>
          <w:rFonts w:cstheme="minorHAnsi"/>
        </w:rPr>
        <w:t>at</w:t>
      </w:r>
      <w:r w:rsidR="00A855F7" w:rsidRPr="007E4FCB">
        <w:rPr>
          <w:rFonts w:cstheme="minorHAnsi"/>
        </w:rPr>
        <w:t xml:space="preserve"> most</w:t>
      </w:r>
      <w:r w:rsidRPr="007E4FCB">
        <w:rPr>
          <w:rFonts w:cstheme="minorHAnsi"/>
        </w:rPr>
        <w:t xml:space="preserve"> support</w:t>
      </w:r>
      <w:r w:rsidR="00D6030A" w:rsidRPr="007E4FCB">
        <w:rPr>
          <w:rFonts w:cstheme="minorHAnsi"/>
        </w:rPr>
        <w:t xml:space="preserve"> level</w:t>
      </w:r>
      <w:r w:rsidR="00A855F7" w:rsidRPr="007E4FCB">
        <w:rPr>
          <w:rFonts w:cstheme="minorHAnsi"/>
        </w:rPr>
        <w:t>s</w:t>
      </w:r>
      <w:r w:rsidRPr="007E4FCB">
        <w:rPr>
          <w:rFonts w:cstheme="minorHAnsi"/>
        </w:rPr>
        <w:t xml:space="preserve"> since the data frame is scanned only once.</w:t>
      </w:r>
      <w:r w:rsidR="00A855F7" w:rsidRPr="007E4FCB">
        <w:rPr>
          <w:rFonts w:cstheme="minorHAnsi"/>
        </w:rPr>
        <w:t xml:space="preserve"> A</w:t>
      </w:r>
      <w:r w:rsidR="00AF045D" w:rsidRPr="007E4FCB">
        <w:rPr>
          <w:rFonts w:cstheme="minorHAnsi"/>
        </w:rPr>
        <w:t>t supports 0.65 and 0.75, FP-growth i</w:t>
      </w:r>
      <w:r w:rsidR="00A855F7" w:rsidRPr="007E4FCB">
        <w:rPr>
          <w:rFonts w:cstheme="minorHAnsi"/>
        </w:rPr>
        <w:t xml:space="preserve">s </w:t>
      </w:r>
      <w:r w:rsidR="00AF045D" w:rsidRPr="007E4FCB">
        <w:rPr>
          <w:rFonts w:cstheme="minorHAnsi"/>
        </w:rPr>
        <w:t xml:space="preserve">beaten </w:t>
      </w:r>
      <w:r w:rsidR="00A855F7" w:rsidRPr="007E4FCB">
        <w:rPr>
          <w:rFonts w:cstheme="minorHAnsi"/>
        </w:rPr>
        <w:t xml:space="preserve">by improved </w:t>
      </w:r>
      <w:proofErr w:type="spellStart"/>
      <w:r w:rsidR="00A855F7" w:rsidRPr="007E4FCB">
        <w:rPr>
          <w:rFonts w:cstheme="minorHAnsi"/>
        </w:rPr>
        <w:t>Apriori</w:t>
      </w:r>
      <w:proofErr w:type="spellEnd"/>
      <w:r w:rsidR="00AF045D" w:rsidRPr="007E4FCB">
        <w:rPr>
          <w:rFonts w:cstheme="minorHAnsi"/>
        </w:rPr>
        <w:t xml:space="preserve"> although the runtime difference is not statistically significant</w:t>
      </w:r>
      <w:r w:rsidR="00A855F7" w:rsidRPr="007E4FCB">
        <w:rPr>
          <w:rFonts w:cstheme="minorHAnsi"/>
        </w:rPr>
        <w:t>.</w:t>
      </w:r>
      <w:r w:rsidR="00AF045D" w:rsidRPr="007E4FCB">
        <w:rPr>
          <w:rFonts w:cstheme="minorHAnsi"/>
        </w:rPr>
        <w:t xml:space="preserve"> </w:t>
      </w:r>
      <w:r w:rsidR="003343EF" w:rsidRPr="007E4FCB">
        <w:rPr>
          <w:rFonts w:cstheme="minorHAnsi"/>
        </w:rPr>
        <w:t>This observation can be best explained by the low number of trials resulting in high variance in runtimes.</w:t>
      </w:r>
    </w:p>
    <w:p w:rsidR="009441E3" w:rsidRPr="007E4FCB" w:rsidRDefault="007B4C03" w:rsidP="007A417D">
      <w:pPr>
        <w:rPr>
          <w:rFonts w:cstheme="minorHAnsi"/>
        </w:rPr>
      </w:pPr>
      <w:r w:rsidRPr="007E4FCB">
        <w:rPr>
          <w:rFonts w:cstheme="minorHAnsi"/>
        </w:rPr>
        <w:t>All algorithms generate the same frequent patterns</w:t>
      </w:r>
      <w:r w:rsidR="009441E3" w:rsidRPr="007E4FCB">
        <w:rPr>
          <w:rFonts w:cstheme="minorHAnsi"/>
        </w:rPr>
        <w:t xml:space="preserve"> although t</w:t>
      </w:r>
      <w:r w:rsidR="0007625E" w:rsidRPr="007E4FCB">
        <w:rPr>
          <w:rFonts w:cstheme="minorHAnsi"/>
        </w:rPr>
        <w:t>he output</w:t>
      </w:r>
      <w:r w:rsidR="002F5FF3" w:rsidRPr="007E4FCB">
        <w:rPr>
          <w:rFonts w:cstheme="minorHAnsi"/>
        </w:rPr>
        <w:t xml:space="preserve"> from</w:t>
      </w:r>
      <w:r w:rsidR="009441E3" w:rsidRPr="007E4FCB">
        <w:rPr>
          <w:rFonts w:cstheme="minorHAnsi"/>
        </w:rPr>
        <w:t xml:space="preserve"> FP-growth </w:t>
      </w:r>
      <w:r w:rsidRPr="007E4FCB">
        <w:rPr>
          <w:rFonts w:cstheme="minorHAnsi"/>
        </w:rPr>
        <w:t>i</w:t>
      </w:r>
      <w:r w:rsidR="0007625E" w:rsidRPr="007E4FCB">
        <w:rPr>
          <w:rFonts w:cstheme="minorHAnsi"/>
        </w:rPr>
        <w:t xml:space="preserve">s sequenced differently </w:t>
      </w:r>
      <w:r w:rsidR="009441E3" w:rsidRPr="007E4FCB">
        <w:rPr>
          <w:rFonts w:cstheme="minorHAnsi"/>
        </w:rPr>
        <w:t xml:space="preserve">compared to </w:t>
      </w:r>
      <w:r w:rsidR="0007625E" w:rsidRPr="007E4FCB">
        <w:rPr>
          <w:rFonts w:cstheme="minorHAnsi"/>
        </w:rPr>
        <w:t>the</w:t>
      </w:r>
      <w:r w:rsidR="002F5FF3" w:rsidRPr="007E4FCB">
        <w:rPr>
          <w:rFonts w:cstheme="minorHAnsi"/>
        </w:rPr>
        <w:t xml:space="preserve"> outputs from</w:t>
      </w:r>
      <w:r w:rsidRPr="007E4FCB">
        <w:rPr>
          <w:rFonts w:cstheme="minorHAnsi"/>
        </w:rPr>
        <w:t xml:space="preserve"> </w:t>
      </w:r>
      <w:r w:rsidR="00A855F7" w:rsidRPr="007E4FCB">
        <w:rPr>
          <w:rFonts w:cstheme="minorHAnsi"/>
        </w:rPr>
        <w:t xml:space="preserve">classical </w:t>
      </w:r>
      <w:proofErr w:type="spellStart"/>
      <w:r w:rsidR="00A855F7" w:rsidRPr="007E4FCB">
        <w:rPr>
          <w:rFonts w:cstheme="minorHAnsi"/>
        </w:rPr>
        <w:t>Apriori</w:t>
      </w:r>
      <w:proofErr w:type="spellEnd"/>
      <w:r w:rsidRPr="007E4FCB">
        <w:rPr>
          <w:rFonts w:cstheme="minorHAnsi"/>
        </w:rPr>
        <w:t xml:space="preserve"> and improved </w:t>
      </w:r>
      <w:proofErr w:type="spellStart"/>
      <w:r w:rsidRPr="007E4FCB">
        <w:rPr>
          <w:rFonts w:cstheme="minorHAnsi"/>
        </w:rPr>
        <w:t>Apriori</w:t>
      </w:r>
      <w:proofErr w:type="spellEnd"/>
      <w:r w:rsidR="007A417D" w:rsidRPr="007E4FCB">
        <w:rPr>
          <w:rFonts w:cstheme="minorHAnsi"/>
        </w:rPr>
        <w:t>.</w:t>
      </w:r>
    </w:p>
    <w:sectPr w:rsidR="009441E3" w:rsidRPr="007E4FCB" w:rsidSect="005B11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069" w:rsidRDefault="00B56069" w:rsidP="00203436">
      <w:pPr>
        <w:spacing w:after="0" w:line="240" w:lineRule="auto"/>
      </w:pPr>
      <w:r>
        <w:separator/>
      </w:r>
    </w:p>
  </w:endnote>
  <w:endnote w:type="continuationSeparator" w:id="0">
    <w:p w:rsidR="00B56069" w:rsidRDefault="00B56069" w:rsidP="0020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069" w:rsidRDefault="00B56069" w:rsidP="00203436">
      <w:pPr>
        <w:spacing w:after="0" w:line="240" w:lineRule="auto"/>
      </w:pPr>
      <w:r>
        <w:separator/>
      </w:r>
    </w:p>
  </w:footnote>
  <w:footnote w:type="continuationSeparator" w:id="0">
    <w:p w:rsidR="00B56069" w:rsidRDefault="00B56069" w:rsidP="00203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436" w:rsidRDefault="00203436">
    <w:pPr>
      <w:pStyle w:val="Header"/>
    </w:pPr>
    <w:r>
      <w:t>Nhan Le</w:t>
    </w:r>
  </w:p>
  <w:p w:rsidR="00203436" w:rsidRDefault="00203436">
    <w:pPr>
      <w:pStyle w:val="Header"/>
    </w:pPr>
    <w:r>
      <w:t>CSC 240</w:t>
    </w:r>
  </w:p>
  <w:p w:rsidR="00203436" w:rsidRDefault="00203436">
    <w:pPr>
      <w:pStyle w:val="Header"/>
    </w:pPr>
    <w:r>
      <w:t>Project 1</w:t>
    </w:r>
  </w:p>
  <w:p w:rsidR="00203436" w:rsidRDefault="002034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436"/>
    <w:rsid w:val="0007625E"/>
    <w:rsid w:val="000779B9"/>
    <w:rsid w:val="000D0A9F"/>
    <w:rsid w:val="00116987"/>
    <w:rsid w:val="001222ED"/>
    <w:rsid w:val="00134710"/>
    <w:rsid w:val="00152171"/>
    <w:rsid w:val="00183FE6"/>
    <w:rsid w:val="00186A16"/>
    <w:rsid w:val="00203436"/>
    <w:rsid w:val="0021133D"/>
    <w:rsid w:val="002317BE"/>
    <w:rsid w:val="00237B3C"/>
    <w:rsid w:val="002C6F03"/>
    <w:rsid w:val="002F5FF3"/>
    <w:rsid w:val="00300C90"/>
    <w:rsid w:val="00332A45"/>
    <w:rsid w:val="003343EF"/>
    <w:rsid w:val="00347BDD"/>
    <w:rsid w:val="00375807"/>
    <w:rsid w:val="003D0723"/>
    <w:rsid w:val="003E2DB9"/>
    <w:rsid w:val="003F0005"/>
    <w:rsid w:val="00513BC7"/>
    <w:rsid w:val="00536CD4"/>
    <w:rsid w:val="005578AA"/>
    <w:rsid w:val="005B1193"/>
    <w:rsid w:val="006140A1"/>
    <w:rsid w:val="00631462"/>
    <w:rsid w:val="00666FB5"/>
    <w:rsid w:val="0069596C"/>
    <w:rsid w:val="006B4B1E"/>
    <w:rsid w:val="006D0A31"/>
    <w:rsid w:val="006F1001"/>
    <w:rsid w:val="0072431A"/>
    <w:rsid w:val="007A417D"/>
    <w:rsid w:val="007B4C03"/>
    <w:rsid w:val="007C37D8"/>
    <w:rsid w:val="007E4FCB"/>
    <w:rsid w:val="00844CDC"/>
    <w:rsid w:val="00891420"/>
    <w:rsid w:val="008C4D73"/>
    <w:rsid w:val="00910E4C"/>
    <w:rsid w:val="0094098C"/>
    <w:rsid w:val="009441E3"/>
    <w:rsid w:val="00975915"/>
    <w:rsid w:val="0098428B"/>
    <w:rsid w:val="009B5AE8"/>
    <w:rsid w:val="00A15FEA"/>
    <w:rsid w:val="00A45DF6"/>
    <w:rsid w:val="00A63269"/>
    <w:rsid w:val="00A77CFB"/>
    <w:rsid w:val="00A855F7"/>
    <w:rsid w:val="00AC1607"/>
    <w:rsid w:val="00AC7454"/>
    <w:rsid w:val="00AD692D"/>
    <w:rsid w:val="00AF045D"/>
    <w:rsid w:val="00B40FDC"/>
    <w:rsid w:val="00B56069"/>
    <w:rsid w:val="00B80030"/>
    <w:rsid w:val="00BD47FC"/>
    <w:rsid w:val="00C90798"/>
    <w:rsid w:val="00C92FF5"/>
    <w:rsid w:val="00C979CD"/>
    <w:rsid w:val="00CD45E9"/>
    <w:rsid w:val="00D6030A"/>
    <w:rsid w:val="00D92D54"/>
    <w:rsid w:val="00DE5445"/>
    <w:rsid w:val="00E179D5"/>
    <w:rsid w:val="00E2686F"/>
    <w:rsid w:val="00E567ED"/>
    <w:rsid w:val="00EA3CB8"/>
    <w:rsid w:val="00EE0F65"/>
    <w:rsid w:val="00EF472D"/>
    <w:rsid w:val="00F55DEC"/>
    <w:rsid w:val="00F604B4"/>
    <w:rsid w:val="00FD542A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436"/>
  </w:style>
  <w:style w:type="paragraph" w:styleId="Footer">
    <w:name w:val="footer"/>
    <w:basedOn w:val="Normal"/>
    <w:link w:val="FooterChar"/>
    <w:uiPriority w:val="99"/>
    <w:semiHidden/>
    <w:unhideWhenUsed/>
    <w:rsid w:val="0020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436"/>
  </w:style>
  <w:style w:type="character" w:styleId="Hyperlink">
    <w:name w:val="Hyperlink"/>
    <w:basedOn w:val="DefaultParagraphFont"/>
    <w:uiPriority w:val="99"/>
    <w:unhideWhenUsed/>
    <w:rsid w:val="00F55D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adul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nh\OneDrive\School\9.%20Fall%202016\CSC%20240\Projects\Project%201\src\Nhan%20Le%20-%20Project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nh\OneDrive\School\9.%20Fall%202016\CSC%20240\Projects\Project%201\src\Nhan%20Le%20-%20Project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_nh\OneDrive\School\9.%20Fall%202016\CSC%20240\Projects\Project%201\src\Nhan%20Le%20-%20Projec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Average Runtime vs.</a:t>
            </a:r>
            <a:r>
              <a:rPr lang="en-US" baseline="0"/>
              <a:t> Support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Sheet1!$B$2</c:f>
              <c:strCache>
                <c:ptCount val="1"/>
                <c:pt idx="0">
                  <c:v>Apriori</c:v>
                </c:pt>
              </c:strCache>
            </c:strRef>
          </c:tx>
          <c:xVal>
            <c:numRef>
              <c:f>Sheet1!$A$3:$A$12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394233470445.66663</c:v>
                </c:pt>
                <c:pt idx="1">
                  <c:v>157909539619.60001</c:v>
                </c:pt>
                <c:pt idx="2">
                  <c:v>81624877392.800003</c:v>
                </c:pt>
                <c:pt idx="3">
                  <c:v>32569431277.799999</c:v>
                </c:pt>
                <c:pt idx="4">
                  <c:v>14637015026.333334</c:v>
                </c:pt>
                <c:pt idx="5">
                  <c:v>9779264941.333334</c:v>
                </c:pt>
                <c:pt idx="6">
                  <c:v>5447379243.666667</c:v>
                </c:pt>
                <c:pt idx="7">
                  <c:v>4407473858.166667</c:v>
                </c:pt>
                <c:pt idx="8">
                  <c:v>3685973829.5</c:v>
                </c:pt>
                <c:pt idx="9">
                  <c:v>2662469405.8333335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FP-Growth</c:v>
                </c:pt>
              </c:strCache>
            </c:strRef>
          </c:tx>
          <c:xVal>
            <c:numRef>
              <c:f>Sheet1!$A$3:$A$12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69329210660</c:v>
                </c:pt>
                <c:pt idx="1">
                  <c:v>44644648225.800003</c:v>
                </c:pt>
                <c:pt idx="2">
                  <c:v>32840825456.200001</c:v>
                </c:pt>
                <c:pt idx="3">
                  <c:v>16526595671.6</c:v>
                </c:pt>
                <c:pt idx="4">
                  <c:v>8301331908.8000002</c:v>
                </c:pt>
                <c:pt idx="5">
                  <c:v>6759628152.8000002</c:v>
                </c:pt>
                <c:pt idx="6">
                  <c:v>4935631035.3999996</c:v>
                </c:pt>
                <c:pt idx="7">
                  <c:v>3852866603</c:v>
                </c:pt>
                <c:pt idx="8">
                  <c:v>1689335325.5999999</c:v>
                </c:pt>
                <c:pt idx="9">
                  <c:v>976664846.79999995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Improved Apriori</c:v>
                </c:pt>
              </c:strCache>
            </c:strRef>
          </c:tx>
          <c:xVal>
            <c:numRef>
              <c:f>Sheet1!$A$3:$A$12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390844890450</c:v>
                </c:pt>
                <c:pt idx="1">
                  <c:v>154257914614.79999</c:v>
                </c:pt>
                <c:pt idx="2">
                  <c:v>78399164129.600006</c:v>
                </c:pt>
                <c:pt idx="3">
                  <c:v>29309070326.166668</c:v>
                </c:pt>
                <c:pt idx="4">
                  <c:v>12881264911.833334</c:v>
                </c:pt>
                <c:pt idx="5">
                  <c:v>8194790078.833333</c:v>
                </c:pt>
                <c:pt idx="6">
                  <c:v>4645994304.333333</c:v>
                </c:pt>
                <c:pt idx="7">
                  <c:v>3789249584</c:v>
                </c:pt>
                <c:pt idx="8">
                  <c:v>3041088066.5</c:v>
                </c:pt>
                <c:pt idx="9">
                  <c:v>2224388452</c:v>
                </c:pt>
              </c:numCache>
            </c:numRef>
          </c:yVal>
          <c:smooth val="1"/>
        </c:ser>
        <c:axId val="41960576"/>
        <c:axId val="41962496"/>
      </c:scatterChart>
      <c:valAx>
        <c:axId val="419605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Support</a:t>
                </a:r>
              </a:p>
            </c:rich>
          </c:tx>
        </c:title>
        <c:numFmt formatCode="General" sourceLinked="1"/>
        <c:majorTickMark val="none"/>
        <c:tickLblPos val="nextTo"/>
        <c:crossAx val="41962496"/>
        <c:crosses val="autoZero"/>
        <c:crossBetween val="midCat"/>
      </c:valAx>
      <c:valAx>
        <c:axId val="419624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Runtime (in ns)</a:t>
                </a:r>
              </a:p>
            </c:rich>
          </c:tx>
        </c:title>
        <c:numFmt formatCode="General" sourceLinked="1"/>
        <c:majorTickMark val="none"/>
        <c:tickLblPos val="nextTo"/>
        <c:crossAx val="419605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ln(Average Runtime) vs. Support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Sheet1!$B$15</c:f>
              <c:strCache>
                <c:ptCount val="1"/>
                <c:pt idx="0">
                  <c:v>Apriori</c:v>
                </c:pt>
              </c:strCache>
            </c:strRef>
          </c:tx>
          <c:xVal>
            <c:numRef>
              <c:f>Sheet1!$A$16:$A$25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Sheet1!$B$16:$B$25</c:f>
              <c:numCache>
                <c:formatCode>General</c:formatCode>
                <c:ptCount val="10"/>
                <c:pt idx="0">
                  <c:v>26.700209135330184</c:v>
                </c:pt>
                <c:pt idx="1">
                  <c:v>25.785288171960001</c:v>
                </c:pt>
                <c:pt idx="2">
                  <c:v>25.125399922462854</c:v>
                </c:pt>
                <c:pt idx="3">
                  <c:v>24.206639994546936</c:v>
                </c:pt>
                <c:pt idx="4">
                  <c:v>23.406819433046952</c:v>
                </c:pt>
                <c:pt idx="5">
                  <c:v>23.003530158795659</c:v>
                </c:pt>
                <c:pt idx="6">
                  <c:v>22.418400457243489</c:v>
                </c:pt>
                <c:pt idx="7">
                  <c:v>22.206567541002979</c:v>
                </c:pt>
                <c:pt idx="8">
                  <c:v>22.027800596195966</c:v>
                </c:pt>
                <c:pt idx="9">
                  <c:v>21.702519877149101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Sheet1!$C$15</c:f>
              <c:strCache>
                <c:ptCount val="1"/>
                <c:pt idx="0">
                  <c:v>FP-Growth</c:v>
                </c:pt>
              </c:strCache>
            </c:strRef>
          </c:tx>
          <c:xVal>
            <c:numRef>
              <c:f>Sheet1!$A$16:$A$25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Sheet1!$C$16:$C$25</c:f>
              <c:numCache>
                <c:formatCode>General</c:formatCode>
                <c:ptCount val="10"/>
                <c:pt idx="0">
                  <c:v>24.962132164577085</c:v>
                </c:pt>
                <c:pt idx="1">
                  <c:v>24.522000276520675</c:v>
                </c:pt>
                <c:pt idx="2">
                  <c:v>24.214938256909022</c:v>
                </c:pt>
                <c:pt idx="3">
                  <c:v>23.528236779087489</c:v>
                </c:pt>
                <c:pt idx="4">
                  <c:v>22.839681809814643</c:v>
                </c:pt>
                <c:pt idx="5">
                  <c:v>22.634233718506099</c:v>
                </c:pt>
                <c:pt idx="6">
                  <c:v>22.319746371039223</c:v>
                </c:pt>
                <c:pt idx="7">
                  <c:v>22.072083280397525</c:v>
                </c:pt>
                <c:pt idx="8">
                  <c:v>21.247600990057727</c:v>
                </c:pt>
                <c:pt idx="9">
                  <c:v>20.699654107960832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Sheet1!$D$15</c:f>
              <c:strCache>
                <c:ptCount val="1"/>
                <c:pt idx="0">
                  <c:v>Improved Apriori</c:v>
                </c:pt>
              </c:strCache>
            </c:strRef>
          </c:tx>
          <c:xVal>
            <c:numRef>
              <c:f>Sheet1!$A$16:$A$25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Sheet1!$D$16:$D$25</c:f>
              <c:numCache>
                <c:formatCode>General</c:formatCode>
                <c:ptCount val="10"/>
                <c:pt idx="0">
                  <c:v>26.6915766186093</c:v>
                </c:pt>
                <c:pt idx="1">
                  <c:v>25.761891808722226</c:v>
                </c:pt>
                <c:pt idx="2">
                  <c:v>25.085079102633689</c:v>
                </c:pt>
                <c:pt idx="3">
                  <c:v>24.101162872509274</c:v>
                </c:pt>
                <c:pt idx="4">
                  <c:v>23.279039760241059</c:v>
                </c:pt>
                <c:pt idx="5">
                  <c:v>22.826764433052475</c:v>
                </c:pt>
                <c:pt idx="6">
                  <c:v>22.259271245364758</c:v>
                </c:pt>
                <c:pt idx="7">
                  <c:v>22.055433837491773</c:v>
                </c:pt>
                <c:pt idx="8">
                  <c:v>21.835481204939512</c:v>
                </c:pt>
                <c:pt idx="9">
                  <c:v>21.522747861751881</c:v>
                </c:pt>
              </c:numCache>
            </c:numRef>
          </c:yVal>
          <c:smooth val="1"/>
        </c:ser>
        <c:axId val="78461568"/>
        <c:axId val="79375360"/>
      </c:scatterChart>
      <c:valAx>
        <c:axId val="78461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Support</a:t>
                </a:r>
              </a:p>
            </c:rich>
          </c:tx>
        </c:title>
        <c:numFmt formatCode="General" sourceLinked="1"/>
        <c:majorTickMark val="none"/>
        <c:tickLblPos val="nextTo"/>
        <c:crossAx val="79375360"/>
        <c:crosses val="autoZero"/>
        <c:crossBetween val="midCat"/>
      </c:valAx>
      <c:valAx>
        <c:axId val="79375360"/>
        <c:scaling>
          <c:orientation val="minMax"/>
          <c:max val="27"/>
          <c:min val="20.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ln(Average Runtime) (in ln(ns)</a:t>
                </a:r>
              </a:p>
            </c:rich>
          </c:tx>
        </c:title>
        <c:numFmt formatCode="General" sourceLinked="1"/>
        <c:majorTickMark val="none"/>
        <c:tickLblPos val="nextTo"/>
        <c:crossAx val="78461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Runtime</a:t>
            </a:r>
            <a:r>
              <a:rPr lang="en-US" baseline="0"/>
              <a:t> Improvement for Improved Apriori vs. Support 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Sheet1!$E$2</c:f>
              <c:strCache>
                <c:ptCount val="1"/>
                <c:pt idx="0">
                  <c:v>% improvement</c:v>
                </c:pt>
              </c:strCache>
            </c:strRef>
          </c:tx>
          <c:xVal>
            <c:numRef>
              <c:f>Sheet1!$A$3:$A$12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</c:v>
                </c:pt>
                <c:pt idx="2">
                  <c:v>0.25</c:v>
                </c:pt>
                <c:pt idx="3">
                  <c:v>0.35000000000000003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0.65000000000000013</c:v>
                </c:pt>
                <c:pt idx="7">
                  <c:v>0.75000000000000011</c:v>
                </c:pt>
                <c:pt idx="8">
                  <c:v>0.85000000000000009</c:v>
                </c:pt>
                <c:pt idx="9">
                  <c:v>0.95000000000000007</c:v>
                </c:pt>
              </c:numCache>
            </c:numRef>
          </c:xVal>
          <c:yVal>
            <c:numRef>
              <c:f>Sheet1!$E$3:$E$12</c:f>
              <c:numCache>
                <c:formatCode>General</c:formatCode>
                <c:ptCount val="10"/>
                <c:pt idx="0">
                  <c:v>0.85953635337862611</c:v>
                </c:pt>
                <c:pt idx="1">
                  <c:v>2.3124790393263681</c:v>
                </c:pt>
                <c:pt idx="2">
                  <c:v>3.9518751711895761</c:v>
                </c:pt>
                <c:pt idx="3">
                  <c:v>10.010493962342109</c:v>
                </c:pt>
                <c:pt idx="4">
                  <c:v>11.995274387170092</c:v>
                </c:pt>
                <c:pt idx="5">
                  <c:v>16.202392224828799</c:v>
                </c:pt>
                <c:pt idx="6">
                  <c:v>14.711385117257164</c:v>
                </c:pt>
                <c:pt idx="7">
                  <c:v>14.026725831195821</c:v>
                </c:pt>
                <c:pt idx="8">
                  <c:v>17.495668521539073</c:v>
                </c:pt>
                <c:pt idx="9">
                  <c:v>16.453933813230702</c:v>
                </c:pt>
              </c:numCache>
            </c:numRef>
          </c:yVal>
          <c:smooth val="1"/>
        </c:ser>
        <c:axId val="81900288"/>
        <c:axId val="81937536"/>
      </c:scatterChart>
      <c:valAx>
        <c:axId val="819002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Support</a:t>
                </a:r>
              </a:p>
            </c:rich>
          </c:tx>
        </c:title>
        <c:numFmt formatCode="General" sourceLinked="1"/>
        <c:majorTickMark val="none"/>
        <c:tickLblPos val="nextTo"/>
        <c:crossAx val="81937536"/>
        <c:crosses val="autoZero"/>
        <c:crossBetween val="midCat"/>
      </c:valAx>
      <c:valAx>
        <c:axId val="819375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Improvement (in %)</a:t>
                </a:r>
              </a:p>
            </c:rich>
          </c:tx>
        </c:title>
        <c:numFmt formatCode="General" sourceLinked="1"/>
        <c:majorTickMark val="none"/>
        <c:tickLblPos val="nextTo"/>
        <c:crossAx val="8190028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Le</dc:creator>
  <cp:lastModifiedBy>Nhan Le</cp:lastModifiedBy>
  <cp:revision>46</cp:revision>
  <cp:lastPrinted>2016-10-27T03:15:00Z</cp:lastPrinted>
  <dcterms:created xsi:type="dcterms:W3CDTF">2016-10-26T02:40:00Z</dcterms:created>
  <dcterms:modified xsi:type="dcterms:W3CDTF">2016-10-27T04:24:00Z</dcterms:modified>
</cp:coreProperties>
</file>