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4942" w:rsidRDefault="0011685B">
      <w:pPr>
        <w:spacing w:line="480" w:lineRule="auto"/>
        <w:rPr>
          <w:sz w:val="24"/>
          <w:szCs w:val="24"/>
        </w:rPr>
      </w:pPr>
      <w:r>
        <w:rPr>
          <w:sz w:val="24"/>
          <w:szCs w:val="24"/>
        </w:rPr>
        <w:t xml:space="preserve">Name: Izz Hafeez Bin Zek </w:t>
      </w:r>
      <w:proofErr w:type="spellStart"/>
      <w:r>
        <w:rPr>
          <w:sz w:val="24"/>
          <w:szCs w:val="24"/>
        </w:rPr>
        <w:t>Hazley</w:t>
      </w:r>
      <w:proofErr w:type="spellEnd"/>
    </w:p>
    <w:p w14:paraId="00000002" w14:textId="77777777" w:rsidR="007A4942" w:rsidRDefault="0011685B">
      <w:pPr>
        <w:spacing w:line="480" w:lineRule="auto"/>
        <w:rPr>
          <w:sz w:val="24"/>
          <w:szCs w:val="24"/>
        </w:rPr>
      </w:pPr>
      <w:r>
        <w:rPr>
          <w:sz w:val="24"/>
          <w:szCs w:val="24"/>
        </w:rPr>
        <w:t>Tutorial Group: TD3</w:t>
      </w:r>
    </w:p>
    <w:p w14:paraId="00000003" w14:textId="77777777" w:rsidR="007A4942" w:rsidRDefault="0011685B">
      <w:pPr>
        <w:spacing w:line="480" w:lineRule="auto"/>
        <w:rPr>
          <w:sz w:val="24"/>
          <w:szCs w:val="24"/>
        </w:rPr>
      </w:pPr>
      <w:r>
        <w:rPr>
          <w:sz w:val="24"/>
          <w:szCs w:val="24"/>
        </w:rPr>
        <w:t>Student Number: A0234693X</w:t>
      </w:r>
    </w:p>
    <w:p w14:paraId="00000004" w14:textId="77777777" w:rsidR="007A4942" w:rsidRDefault="0011685B">
      <w:pPr>
        <w:spacing w:line="480" w:lineRule="auto"/>
        <w:rPr>
          <w:sz w:val="24"/>
          <w:szCs w:val="24"/>
        </w:rPr>
      </w:pPr>
      <w:r>
        <w:rPr>
          <w:sz w:val="24"/>
          <w:szCs w:val="24"/>
        </w:rPr>
        <w:t>Title: CA3 Creative Work: Travelogue of Venetian Merchant in Constantinople</w:t>
      </w:r>
    </w:p>
    <w:p w14:paraId="00000005" w14:textId="77777777" w:rsidR="007A4942" w:rsidRDefault="0011685B">
      <w:pPr>
        <w:spacing w:line="480" w:lineRule="auto"/>
        <w:rPr>
          <w:sz w:val="24"/>
          <w:szCs w:val="24"/>
        </w:rPr>
      </w:pPr>
      <w:r>
        <w:rPr>
          <w:noProof/>
        </w:rPr>
        <w:pict w14:anchorId="080ED2C3">
          <v:rect id="_x0000_i1025" alt="" style="width:451.3pt;height:.05pt;mso-width-percent:0;mso-height-percent:0;mso-width-percent:0;mso-height-percent:0" o:hralign="center" o:hrstd="t" o:hr="t" fillcolor="#a0a0a0" stroked="f"/>
        </w:pict>
      </w:r>
    </w:p>
    <w:p w14:paraId="00000006" w14:textId="77777777" w:rsidR="007A4942" w:rsidRDefault="0011685B">
      <w:pPr>
        <w:spacing w:line="480" w:lineRule="auto"/>
        <w:ind w:firstLine="720"/>
        <w:rPr>
          <w:sz w:val="24"/>
          <w:szCs w:val="24"/>
        </w:rPr>
      </w:pPr>
      <w:r>
        <w:rPr>
          <w:sz w:val="24"/>
          <w:szCs w:val="24"/>
        </w:rPr>
        <w:t>My grandfather used to tell me stories about his many adventures in Byzantium. He was a scholar who frequented Constantinople in pursuit of knowledge. He vividly narrated the city’s fall to the Ottomans, explaining why we have so many scholars here in Veni</w:t>
      </w:r>
      <w:r>
        <w:rPr>
          <w:sz w:val="24"/>
          <w:szCs w:val="24"/>
        </w:rPr>
        <w:t>ce. Thanks to his connections in the academic world, I received a good education in Greek and Arithmetic.</w:t>
      </w:r>
    </w:p>
    <w:p w14:paraId="00000007" w14:textId="7574BA4E" w:rsidR="007A4942" w:rsidRDefault="0011685B">
      <w:pPr>
        <w:spacing w:line="480" w:lineRule="auto"/>
        <w:ind w:firstLine="720"/>
        <w:rPr>
          <w:sz w:val="24"/>
          <w:szCs w:val="24"/>
        </w:rPr>
      </w:pPr>
      <w:r>
        <w:rPr>
          <w:sz w:val="24"/>
          <w:szCs w:val="24"/>
        </w:rPr>
        <w:t xml:space="preserve">Today, I am a merchant of the Republic of Venice. The war against the Ottomans has recently ended and trade is starting to pick up. And </w:t>
      </w:r>
      <w:r w:rsidR="00595554">
        <w:rPr>
          <w:sz w:val="24"/>
          <w:szCs w:val="24"/>
        </w:rPr>
        <w:t>so,</w:t>
      </w:r>
      <w:r>
        <w:rPr>
          <w:sz w:val="24"/>
          <w:szCs w:val="24"/>
        </w:rPr>
        <w:t xml:space="preserve"> for the fir</w:t>
      </w:r>
      <w:r>
        <w:rPr>
          <w:sz w:val="24"/>
          <w:szCs w:val="24"/>
        </w:rPr>
        <w:t>st time in 1482, my carrack set out for Constantinople.</w:t>
      </w:r>
    </w:p>
    <w:p w14:paraId="00000008" w14:textId="77777777" w:rsidR="007A4942" w:rsidRDefault="0011685B">
      <w:pPr>
        <w:spacing w:line="480" w:lineRule="auto"/>
        <w:ind w:firstLine="720"/>
        <w:rPr>
          <w:sz w:val="24"/>
          <w:szCs w:val="24"/>
        </w:rPr>
      </w:pPr>
      <w:r>
        <w:rPr>
          <w:sz w:val="24"/>
          <w:szCs w:val="24"/>
        </w:rPr>
        <w:t>As the ship approached the city harbour, I began to recognise some of the old fortifications such as the Theodosian and Constantinian Walls. Indeed, what my grandfather told me about the walls was tru</w:t>
      </w:r>
      <w:r>
        <w:rPr>
          <w:sz w:val="24"/>
          <w:szCs w:val="24"/>
        </w:rPr>
        <w:t xml:space="preserve">e. They were so advanced and huge, rising over 30 </w:t>
      </w:r>
      <w:proofErr w:type="spellStart"/>
      <w:r>
        <w:rPr>
          <w:sz w:val="24"/>
          <w:szCs w:val="24"/>
        </w:rPr>
        <w:t>piedi</w:t>
      </w:r>
      <w:proofErr w:type="spellEnd"/>
      <w:r>
        <w:rPr>
          <w:sz w:val="24"/>
          <w:szCs w:val="24"/>
        </w:rPr>
        <w:t xml:space="preserve"> in height. Along with the innovative harbour chain, the city was thought to be impenetrable. Raiders and invaders of the past simply stood no chance at scaling and overcoming the formidable defences. </w:t>
      </w:r>
      <w:r>
        <w:rPr>
          <w:sz w:val="24"/>
          <w:szCs w:val="24"/>
        </w:rPr>
        <w:t>Everyone truly felt safe from the outside world.</w:t>
      </w:r>
    </w:p>
    <w:p w14:paraId="00000009" w14:textId="77777777" w:rsidR="007A4942" w:rsidRDefault="0011685B">
      <w:pPr>
        <w:spacing w:line="480" w:lineRule="auto"/>
        <w:ind w:firstLine="720"/>
        <w:rPr>
          <w:sz w:val="24"/>
          <w:szCs w:val="24"/>
        </w:rPr>
      </w:pPr>
      <w:r>
        <w:rPr>
          <w:sz w:val="24"/>
          <w:szCs w:val="24"/>
        </w:rPr>
        <w:t>However, we now live in a world of serpentine powder machines that can decimate any stone structure. Impregnable cities are now rendered vulnerable. Weapons of mass destruction can now kill dozens in a singl</w:t>
      </w:r>
      <w:r>
        <w:rPr>
          <w:sz w:val="24"/>
          <w:szCs w:val="24"/>
        </w:rPr>
        <w:t>e blow. A horrifying thought indeed.</w:t>
      </w:r>
    </w:p>
    <w:p w14:paraId="0000000A" w14:textId="77777777" w:rsidR="007A4942" w:rsidRDefault="0011685B">
      <w:pPr>
        <w:spacing w:line="480" w:lineRule="auto"/>
        <w:ind w:firstLine="720"/>
        <w:rPr>
          <w:sz w:val="24"/>
          <w:szCs w:val="24"/>
        </w:rPr>
      </w:pPr>
      <w:r>
        <w:rPr>
          <w:sz w:val="24"/>
          <w:szCs w:val="24"/>
        </w:rPr>
        <w:lastRenderedPageBreak/>
        <w:t>Moving on, the biggest highlight of the trip is undoubtedly the Covered Bazaar. It was an endless labyrinth, a sturdy market featuring authentic Ottoman architectural principles. Within and surrounding the bazaar, count</w:t>
      </w:r>
      <w:r>
        <w:rPr>
          <w:sz w:val="24"/>
          <w:szCs w:val="24"/>
        </w:rPr>
        <w:t>less shops sell clothes, jewels, spices, and more silk than you’d ever find back home. Merchants from far and wide traded at the market, a vibrant and colourful place indeed.</w:t>
      </w:r>
    </w:p>
    <w:p w14:paraId="0000000B" w14:textId="77777777" w:rsidR="007A4942" w:rsidRDefault="0011685B">
      <w:pPr>
        <w:spacing w:line="480" w:lineRule="auto"/>
        <w:ind w:firstLine="720"/>
        <w:rPr>
          <w:sz w:val="24"/>
          <w:szCs w:val="24"/>
        </w:rPr>
      </w:pPr>
      <w:r>
        <w:rPr>
          <w:sz w:val="24"/>
          <w:szCs w:val="24"/>
        </w:rPr>
        <w:t xml:space="preserve">However, the thing that stood out most to me was the guild system implemented by </w:t>
      </w:r>
      <w:r>
        <w:rPr>
          <w:sz w:val="24"/>
          <w:szCs w:val="24"/>
        </w:rPr>
        <w:t>the bazaar. Under such a system, guilds, among other things, impose quality standards on the wares sold, ensuring that we don’t trade defective or fake goods. A brilliant solution to prevent scams.</w:t>
      </w:r>
    </w:p>
    <w:p w14:paraId="0000000C" w14:textId="77777777" w:rsidR="007A4942" w:rsidRDefault="0011685B">
      <w:pPr>
        <w:spacing w:line="480" w:lineRule="auto"/>
        <w:ind w:firstLine="720"/>
        <w:rPr>
          <w:sz w:val="24"/>
          <w:szCs w:val="24"/>
        </w:rPr>
      </w:pPr>
      <w:r>
        <w:rPr>
          <w:sz w:val="24"/>
          <w:szCs w:val="24"/>
        </w:rPr>
        <w:t xml:space="preserve">Many of the more successful guilds were Islam-based, with </w:t>
      </w:r>
      <w:r>
        <w:rPr>
          <w:sz w:val="24"/>
          <w:szCs w:val="24"/>
        </w:rPr>
        <w:t>a few restrictions placed on outsiders like me. At first, it felt unfair that my trade options were limited. However, the more I learnt, the more I understood that their holy book already has a set of guidelines for conducting trade. In addition, I noticed</w:t>
      </w:r>
      <w:r>
        <w:rPr>
          <w:sz w:val="24"/>
          <w:szCs w:val="24"/>
        </w:rPr>
        <w:t xml:space="preserve"> that many of them leave their goods unattended when attending prayer. In all honesty, I myself don’t even have that level of trust with merchants back home.</w:t>
      </w:r>
    </w:p>
    <w:p w14:paraId="0000000D" w14:textId="188C2CD6" w:rsidR="007A4942" w:rsidRDefault="0011685B">
      <w:pPr>
        <w:spacing w:line="480" w:lineRule="auto"/>
        <w:ind w:firstLine="720"/>
        <w:rPr>
          <w:sz w:val="24"/>
          <w:szCs w:val="24"/>
        </w:rPr>
      </w:pPr>
      <w:r>
        <w:rPr>
          <w:sz w:val="24"/>
          <w:szCs w:val="24"/>
        </w:rPr>
        <w:t xml:space="preserve">While we’re </w:t>
      </w:r>
      <w:proofErr w:type="gramStart"/>
      <w:r>
        <w:rPr>
          <w:sz w:val="24"/>
          <w:szCs w:val="24"/>
        </w:rPr>
        <w:t>on the subject of Islam</w:t>
      </w:r>
      <w:proofErr w:type="gramEnd"/>
      <w:r>
        <w:rPr>
          <w:sz w:val="24"/>
          <w:szCs w:val="24"/>
        </w:rPr>
        <w:t>, the great church of Saint Sophia has expectedly been converte</w:t>
      </w:r>
      <w:r>
        <w:rPr>
          <w:sz w:val="24"/>
          <w:szCs w:val="24"/>
        </w:rPr>
        <w:t xml:space="preserve">d into a mosque. Although I am not a very religious person myself, I was shocked to hear about the “enslavement” of Constantinople. About how the city would fall because the Holy Spirit had abandoned it. Contrarily, I don’t see any of that happening here. </w:t>
      </w:r>
      <w:r>
        <w:rPr>
          <w:sz w:val="24"/>
          <w:szCs w:val="24"/>
        </w:rPr>
        <w:t xml:space="preserve">In fact, the streets are </w:t>
      </w:r>
      <w:r w:rsidR="00595554">
        <w:rPr>
          <w:sz w:val="24"/>
          <w:szCs w:val="24"/>
        </w:rPr>
        <w:t>livelier</w:t>
      </w:r>
      <w:r>
        <w:rPr>
          <w:sz w:val="24"/>
          <w:szCs w:val="24"/>
        </w:rPr>
        <w:t xml:space="preserve"> as compared to my grandfather’s description of them. It </w:t>
      </w:r>
      <w:r w:rsidR="00595554">
        <w:rPr>
          <w:sz w:val="24"/>
          <w:szCs w:val="24"/>
        </w:rPr>
        <w:t>does</w:t>
      </w:r>
      <w:r>
        <w:rPr>
          <w:sz w:val="24"/>
          <w:szCs w:val="24"/>
        </w:rPr>
        <w:t xml:space="preserve"> not look like a city doomed to collapse.</w:t>
      </w:r>
    </w:p>
    <w:p w14:paraId="0000000E" w14:textId="77777777" w:rsidR="007A4942" w:rsidRDefault="0011685B">
      <w:pPr>
        <w:spacing w:line="480" w:lineRule="auto"/>
        <w:ind w:firstLine="720"/>
        <w:rPr>
          <w:sz w:val="24"/>
          <w:szCs w:val="24"/>
        </w:rPr>
      </w:pPr>
      <w:r>
        <w:rPr>
          <w:sz w:val="24"/>
          <w:szCs w:val="24"/>
        </w:rPr>
        <w:t>The place of worship was once the pride and joy of Eastern Orthodoxy. But minarets now surround the former</w:t>
      </w:r>
      <w:r>
        <w:rPr>
          <w:sz w:val="24"/>
          <w:szCs w:val="24"/>
        </w:rPr>
        <w:t xml:space="preserve"> basilica, with names of important Islamic figures decorating its interior. These new rulers are truly making their mark on the city.</w:t>
      </w:r>
      <w:r>
        <w:rPr>
          <w:sz w:val="24"/>
          <w:szCs w:val="24"/>
        </w:rPr>
        <w:br/>
      </w:r>
      <w:r>
        <w:rPr>
          <w:sz w:val="24"/>
          <w:szCs w:val="24"/>
        </w:rPr>
        <w:tab/>
        <w:t xml:space="preserve">Nonetheless, the restrictions on non-Muslims aren’t that bad. Despite the </w:t>
      </w:r>
      <w:r>
        <w:rPr>
          <w:sz w:val="24"/>
          <w:szCs w:val="24"/>
        </w:rPr>
        <w:lastRenderedPageBreak/>
        <w:t>tensions between us and the Ottomans, we are st</w:t>
      </w:r>
      <w:r>
        <w:rPr>
          <w:sz w:val="24"/>
          <w:szCs w:val="24"/>
        </w:rPr>
        <w:t>ill allowed to practise our own religions. Our well-being is taken care of as well. It is indeed a place worth visiting. I might even listen to the advice of the other merchants and settle down here for a while.</w:t>
      </w:r>
      <w:r>
        <w:br w:type="page"/>
      </w:r>
    </w:p>
    <w:p w14:paraId="0000000F" w14:textId="77777777" w:rsidR="007A4942" w:rsidRDefault="0011685B">
      <w:pPr>
        <w:spacing w:line="480" w:lineRule="auto"/>
        <w:rPr>
          <w:sz w:val="24"/>
          <w:szCs w:val="24"/>
        </w:rPr>
      </w:pPr>
      <w:r>
        <w:rPr>
          <w:sz w:val="24"/>
          <w:szCs w:val="24"/>
        </w:rPr>
        <w:lastRenderedPageBreak/>
        <w:t>Title: CA3 Accompanying Essay for the Trave</w:t>
      </w:r>
      <w:r>
        <w:rPr>
          <w:sz w:val="24"/>
          <w:szCs w:val="24"/>
        </w:rPr>
        <w:t>logue</w:t>
      </w:r>
    </w:p>
    <w:p w14:paraId="00000010" w14:textId="17120335" w:rsidR="007A4942" w:rsidRDefault="0011685B">
      <w:pPr>
        <w:spacing w:line="480" w:lineRule="auto"/>
        <w:ind w:firstLine="720"/>
        <w:rPr>
          <w:sz w:val="24"/>
          <w:szCs w:val="24"/>
        </w:rPr>
      </w:pPr>
      <w:r>
        <w:rPr>
          <w:sz w:val="24"/>
          <w:szCs w:val="24"/>
        </w:rPr>
        <w:t>The travelogue is about the travels of a young Venetian merchant, arriving in Constantinople in 1482, a few years after the first Ottoman-Venetian war ended. I chose the city because it was a place of great significance, portraying characteristics of</w:t>
      </w:r>
      <w:r>
        <w:rPr>
          <w:sz w:val="24"/>
          <w:szCs w:val="24"/>
        </w:rPr>
        <w:t xml:space="preserve"> a city of power and commerce. On the other hand, I chose the year because it was </w:t>
      </w:r>
      <w:r w:rsidR="00595554">
        <w:rPr>
          <w:sz w:val="24"/>
          <w:szCs w:val="24"/>
        </w:rPr>
        <w:t>a period</w:t>
      </w:r>
      <w:r>
        <w:rPr>
          <w:sz w:val="24"/>
          <w:szCs w:val="24"/>
        </w:rPr>
        <w:t xml:space="preserve"> when the Treaty of Constantinople enabled trade with Venice to flourish once again.</w:t>
      </w:r>
    </w:p>
    <w:p w14:paraId="00000011" w14:textId="230C5E42" w:rsidR="007A4942" w:rsidRDefault="0011685B">
      <w:pPr>
        <w:spacing w:line="480" w:lineRule="auto"/>
        <w:rPr>
          <w:sz w:val="24"/>
          <w:szCs w:val="24"/>
        </w:rPr>
      </w:pPr>
      <w:r>
        <w:rPr>
          <w:sz w:val="24"/>
          <w:szCs w:val="24"/>
        </w:rPr>
        <w:tab/>
        <w:t>Firstly, I did my best to refine some of the period-specific terminology</w:t>
      </w:r>
      <w:r>
        <w:rPr>
          <w:sz w:val="24"/>
          <w:szCs w:val="24"/>
        </w:rPr>
        <w:t xml:space="preserve"> used in the travelogue. For example, terms such as “metre” and “gunpowder” would not have been invented yet; </w:t>
      </w:r>
      <w:r w:rsidR="00595554">
        <w:rPr>
          <w:sz w:val="24"/>
          <w:szCs w:val="24"/>
        </w:rPr>
        <w:t>instead,</w:t>
      </w:r>
      <w:r>
        <w:rPr>
          <w:sz w:val="24"/>
          <w:szCs w:val="24"/>
        </w:rPr>
        <w:t xml:space="preserve"> they were “</w:t>
      </w:r>
      <w:proofErr w:type="spellStart"/>
      <w:r>
        <w:rPr>
          <w:sz w:val="24"/>
          <w:szCs w:val="24"/>
        </w:rPr>
        <w:t>piedi</w:t>
      </w:r>
      <w:proofErr w:type="spellEnd"/>
      <w:r w:rsidR="00595554">
        <w:rPr>
          <w:sz w:val="24"/>
          <w:szCs w:val="24"/>
        </w:rPr>
        <w:t>”</w:t>
      </w:r>
      <w:r>
        <w:rPr>
          <w:i/>
          <w:sz w:val="24"/>
          <w:szCs w:val="24"/>
          <w:vertAlign w:val="superscript"/>
        </w:rPr>
        <w:footnoteReference w:id="1"/>
      </w:r>
      <w:r>
        <w:rPr>
          <w:sz w:val="24"/>
          <w:szCs w:val="24"/>
        </w:rPr>
        <w:t xml:space="preserve"> and “serpentine powder”</w:t>
      </w:r>
      <w:r>
        <w:rPr>
          <w:sz w:val="24"/>
          <w:szCs w:val="24"/>
          <w:vertAlign w:val="superscript"/>
        </w:rPr>
        <w:footnoteReference w:id="2"/>
      </w:r>
      <w:r>
        <w:rPr>
          <w:sz w:val="24"/>
          <w:szCs w:val="24"/>
        </w:rPr>
        <w:t>. In addition, the Venetian Carrack was the most likely merchant vessel used in the story. Ma</w:t>
      </w:r>
      <w:r>
        <w:rPr>
          <w:sz w:val="24"/>
          <w:szCs w:val="24"/>
        </w:rPr>
        <w:t>thematics, on the other hand, was often split into Geometry and Arithmetic</w:t>
      </w:r>
      <w:r>
        <w:rPr>
          <w:sz w:val="24"/>
          <w:szCs w:val="24"/>
          <w:vertAlign w:val="superscript"/>
        </w:rPr>
        <w:footnoteReference w:id="3"/>
      </w:r>
      <w:r>
        <w:rPr>
          <w:sz w:val="24"/>
          <w:szCs w:val="24"/>
        </w:rPr>
        <w:t xml:space="preserve"> in medieval times. Lastly, the Grand Bazaar and Hagia Sophia would have been called differently by a 15th Century Venetian. All this helped to increase the believability of the tr</w:t>
      </w:r>
      <w:r>
        <w:rPr>
          <w:sz w:val="24"/>
          <w:szCs w:val="24"/>
        </w:rPr>
        <w:t>avelogue.</w:t>
      </w:r>
    </w:p>
    <w:p w14:paraId="00000012" w14:textId="77777777" w:rsidR="007A4942" w:rsidRDefault="0011685B">
      <w:pPr>
        <w:spacing w:line="480" w:lineRule="auto"/>
        <w:rPr>
          <w:sz w:val="24"/>
          <w:szCs w:val="24"/>
        </w:rPr>
      </w:pPr>
      <w:r>
        <w:rPr>
          <w:sz w:val="24"/>
          <w:szCs w:val="24"/>
        </w:rPr>
        <w:tab/>
        <w:t>Secondly, I highlighted Constantinople’s role as a city of power, which was communicated through the city’s monuments and buildings,</w:t>
      </w:r>
      <w:r>
        <w:rPr>
          <w:sz w:val="24"/>
          <w:szCs w:val="24"/>
          <w:vertAlign w:val="superscript"/>
        </w:rPr>
        <w:footnoteReference w:id="4"/>
      </w:r>
      <w:r>
        <w:rPr>
          <w:sz w:val="24"/>
          <w:szCs w:val="24"/>
        </w:rPr>
        <w:t xml:space="preserve"> both before and during Ottoman rule.</w:t>
      </w:r>
    </w:p>
    <w:p w14:paraId="00000013" w14:textId="77777777" w:rsidR="007A4942" w:rsidRDefault="0011685B">
      <w:pPr>
        <w:spacing w:line="480" w:lineRule="auto"/>
        <w:rPr>
          <w:sz w:val="24"/>
          <w:szCs w:val="24"/>
        </w:rPr>
      </w:pPr>
      <w:r>
        <w:rPr>
          <w:sz w:val="24"/>
          <w:szCs w:val="24"/>
        </w:rPr>
        <w:tab/>
        <w:t xml:space="preserve">In terms of military power, I emphasised the city’s impregnable defence </w:t>
      </w:r>
      <w:r>
        <w:rPr>
          <w:sz w:val="24"/>
          <w:szCs w:val="24"/>
        </w:rPr>
        <w:t xml:space="preserve">as well as its vulnerability. I brought up how the walls of Constantinople were very </w:t>
      </w:r>
      <w:r>
        <w:rPr>
          <w:sz w:val="24"/>
          <w:szCs w:val="24"/>
        </w:rPr>
        <w:lastRenderedPageBreak/>
        <w:t>advanced and elaborate for the time; no pre-Ottoman medieval invader was able to besiege it.</w:t>
      </w:r>
      <w:r>
        <w:rPr>
          <w:sz w:val="24"/>
          <w:szCs w:val="24"/>
          <w:vertAlign w:val="superscript"/>
        </w:rPr>
        <w:footnoteReference w:id="5"/>
      </w:r>
      <w:r>
        <w:rPr>
          <w:sz w:val="24"/>
          <w:szCs w:val="24"/>
        </w:rPr>
        <w:t xml:space="preserve"> For this, I took inspiration from “</w:t>
      </w:r>
      <w:r w:rsidRPr="00595554">
        <w:rPr>
          <w:i/>
          <w:iCs/>
          <w:sz w:val="24"/>
          <w:szCs w:val="24"/>
        </w:rPr>
        <w:t>The Walled City</w:t>
      </w:r>
      <w:r>
        <w:rPr>
          <w:sz w:val="24"/>
          <w:szCs w:val="24"/>
        </w:rPr>
        <w:t>”</w:t>
      </w:r>
      <w:r>
        <w:rPr>
          <w:sz w:val="24"/>
          <w:szCs w:val="24"/>
          <w:vertAlign w:val="superscript"/>
        </w:rPr>
        <w:footnoteReference w:id="6"/>
      </w:r>
      <w:r>
        <w:rPr>
          <w:sz w:val="24"/>
          <w:szCs w:val="24"/>
        </w:rPr>
        <w:t xml:space="preserve"> to describe the size o</w:t>
      </w:r>
      <w:r>
        <w:rPr>
          <w:sz w:val="24"/>
          <w:szCs w:val="24"/>
        </w:rPr>
        <w:t>f the walls. Subsequently, I elaborated on the Golden Horn defence, an effective layer of protection against naval invaders.</w:t>
      </w:r>
      <w:r>
        <w:rPr>
          <w:sz w:val="24"/>
          <w:szCs w:val="24"/>
          <w:vertAlign w:val="superscript"/>
        </w:rPr>
        <w:footnoteReference w:id="7"/>
      </w:r>
      <w:r>
        <w:rPr>
          <w:sz w:val="24"/>
          <w:szCs w:val="24"/>
        </w:rPr>
        <w:t xml:space="preserve"> Indeed, it was one of the greatest city fortifications at the time, which was why everyone felt safe in the city. The fall of Con</w:t>
      </w:r>
      <w:r>
        <w:rPr>
          <w:sz w:val="24"/>
          <w:szCs w:val="24"/>
        </w:rPr>
        <w:t>stantinople, however, demonstrated the potential of gunpowder and was a major turning point in European history.</w:t>
      </w:r>
      <w:r>
        <w:rPr>
          <w:sz w:val="24"/>
          <w:szCs w:val="24"/>
          <w:vertAlign w:val="superscript"/>
        </w:rPr>
        <w:footnoteReference w:id="8"/>
      </w:r>
      <w:r>
        <w:rPr>
          <w:sz w:val="24"/>
          <w:szCs w:val="24"/>
        </w:rPr>
        <w:t xml:space="preserve"> It marked the end of the Middle Ages and the demise of city wall defences. I hoped to capture the immense fear that people at the time were l</w:t>
      </w:r>
      <w:r>
        <w:rPr>
          <w:sz w:val="24"/>
          <w:szCs w:val="24"/>
        </w:rPr>
        <w:t>ikely feeling; no place was truly safe against this new destructive technology.</w:t>
      </w:r>
    </w:p>
    <w:p w14:paraId="00000014" w14:textId="77777777" w:rsidR="007A4942" w:rsidRDefault="0011685B">
      <w:pPr>
        <w:spacing w:line="480" w:lineRule="auto"/>
        <w:rPr>
          <w:sz w:val="24"/>
          <w:szCs w:val="24"/>
        </w:rPr>
      </w:pPr>
      <w:r>
        <w:rPr>
          <w:sz w:val="24"/>
          <w:szCs w:val="24"/>
        </w:rPr>
        <w:tab/>
      </w:r>
      <w:r>
        <w:rPr>
          <w:sz w:val="24"/>
          <w:szCs w:val="24"/>
        </w:rPr>
        <w:t>Furthermore, Constantinople was also a place of great sacred power. Firstly, I noted how important the city was to the Eastern Orthodox Church, including the prestige that the Hagia Sophia has attained on the global scale.</w:t>
      </w:r>
      <w:r>
        <w:rPr>
          <w:sz w:val="24"/>
          <w:szCs w:val="24"/>
          <w:vertAlign w:val="superscript"/>
        </w:rPr>
        <w:footnoteReference w:id="9"/>
      </w:r>
      <w:r>
        <w:rPr>
          <w:sz w:val="24"/>
          <w:szCs w:val="24"/>
        </w:rPr>
        <w:t xml:space="preserve"> This gave rise to polarising vi</w:t>
      </w:r>
      <w:r>
        <w:rPr>
          <w:sz w:val="24"/>
          <w:szCs w:val="24"/>
        </w:rPr>
        <w:t>ews on the matter; the conquest of the city was a triumph to the Muslims and an apocalyptic tragedy to the Christians.</w:t>
      </w:r>
      <w:r>
        <w:rPr>
          <w:sz w:val="24"/>
          <w:szCs w:val="24"/>
          <w:vertAlign w:val="superscript"/>
        </w:rPr>
        <w:footnoteReference w:id="10"/>
      </w:r>
    </w:p>
    <w:p w14:paraId="00000015" w14:textId="77777777" w:rsidR="007A4942" w:rsidRDefault="0011685B">
      <w:pPr>
        <w:spacing w:line="480" w:lineRule="auto"/>
        <w:ind w:firstLine="720"/>
        <w:rPr>
          <w:sz w:val="24"/>
          <w:szCs w:val="24"/>
        </w:rPr>
      </w:pPr>
      <w:r>
        <w:rPr>
          <w:sz w:val="24"/>
          <w:szCs w:val="24"/>
        </w:rPr>
        <w:t>I tackled this topic at multiple points in the travelogue. Firstly, I depicted the grim conversations and prophecies heard by the autho</w:t>
      </w:r>
      <w:r>
        <w:rPr>
          <w:sz w:val="24"/>
          <w:szCs w:val="24"/>
        </w:rPr>
        <w:t xml:space="preserve">r, portraying the negative </w:t>
      </w:r>
      <w:r>
        <w:rPr>
          <w:sz w:val="24"/>
          <w:szCs w:val="24"/>
        </w:rPr>
        <w:lastRenderedPageBreak/>
        <w:t>sentiment of the Christians towards the Ottomans. At the same time, I chose the author to be non-religious as he would be less biased, giving a fairer assessment of the city.</w:t>
      </w:r>
      <w:r>
        <w:rPr>
          <w:sz w:val="24"/>
          <w:szCs w:val="24"/>
          <w:vertAlign w:val="superscript"/>
        </w:rPr>
        <w:footnoteReference w:id="11"/>
      </w:r>
      <w:r>
        <w:rPr>
          <w:sz w:val="24"/>
          <w:szCs w:val="24"/>
        </w:rPr>
        <w:t xml:space="preserve"> Finally, I included the minarets in the description </w:t>
      </w:r>
      <w:r>
        <w:rPr>
          <w:sz w:val="24"/>
          <w:szCs w:val="24"/>
        </w:rPr>
        <w:t>of the Hagia Sophia as it was often noted as the symbol of Islam’s victory.</w:t>
      </w:r>
      <w:r>
        <w:rPr>
          <w:sz w:val="24"/>
          <w:szCs w:val="24"/>
          <w:vertAlign w:val="superscript"/>
        </w:rPr>
        <w:footnoteReference w:id="12"/>
      </w:r>
    </w:p>
    <w:p w14:paraId="00000016" w14:textId="77777777" w:rsidR="007A4942" w:rsidRDefault="0011685B">
      <w:pPr>
        <w:spacing w:line="480" w:lineRule="auto"/>
        <w:rPr>
          <w:sz w:val="24"/>
          <w:szCs w:val="24"/>
        </w:rPr>
      </w:pPr>
      <w:r>
        <w:rPr>
          <w:sz w:val="24"/>
          <w:szCs w:val="24"/>
        </w:rPr>
        <w:tab/>
        <w:t>Lastly, I featured Constantinople’s status as a city of commerce, mainly through the popularity of its Grand Bazaar. I drew attention to the market’s solid design, largely thank</w:t>
      </w:r>
      <w:r>
        <w:rPr>
          <w:sz w:val="24"/>
          <w:szCs w:val="24"/>
        </w:rPr>
        <w:t>s to the efforts of Ottoman engineers and architects. Its resistance to natural disasters and the protection it provides against the elements are what set it apart from other markets at the time; it minimised enterprise risk as well as the potential for re</w:t>
      </w:r>
      <w:r>
        <w:rPr>
          <w:sz w:val="24"/>
          <w:szCs w:val="24"/>
        </w:rPr>
        <w:t>putational damage.</w:t>
      </w:r>
      <w:r>
        <w:rPr>
          <w:sz w:val="24"/>
          <w:szCs w:val="24"/>
          <w:vertAlign w:val="superscript"/>
        </w:rPr>
        <w:footnoteReference w:id="13"/>
      </w:r>
    </w:p>
    <w:p w14:paraId="00000017" w14:textId="77777777" w:rsidR="007A4942" w:rsidRDefault="0011685B">
      <w:pPr>
        <w:spacing w:line="480" w:lineRule="auto"/>
        <w:rPr>
          <w:sz w:val="24"/>
          <w:szCs w:val="24"/>
        </w:rPr>
      </w:pPr>
      <w:r>
        <w:rPr>
          <w:sz w:val="24"/>
          <w:szCs w:val="24"/>
        </w:rPr>
        <w:tab/>
        <w:t>Furthermore, for a long time, the Ottomans controlled the trade entrepots along international trade routes.</w:t>
      </w:r>
      <w:r>
        <w:rPr>
          <w:sz w:val="24"/>
          <w:szCs w:val="24"/>
          <w:vertAlign w:val="superscript"/>
        </w:rPr>
        <w:footnoteReference w:id="14"/>
      </w:r>
      <w:r>
        <w:rPr>
          <w:sz w:val="24"/>
          <w:szCs w:val="24"/>
        </w:rPr>
        <w:t xml:space="preserve"> As a result, Constantinople dominated global trade,</w:t>
      </w:r>
      <w:r>
        <w:rPr>
          <w:sz w:val="24"/>
          <w:szCs w:val="24"/>
          <w:vertAlign w:val="superscript"/>
        </w:rPr>
        <w:footnoteReference w:id="15"/>
      </w:r>
      <w:r>
        <w:rPr>
          <w:sz w:val="24"/>
          <w:szCs w:val="24"/>
        </w:rPr>
        <w:t xml:space="preserve"> hence attracting all sorts of people to sell all sorts of goods.</w:t>
      </w:r>
      <w:r>
        <w:rPr>
          <w:sz w:val="24"/>
          <w:szCs w:val="24"/>
          <w:vertAlign w:val="superscript"/>
        </w:rPr>
        <w:footnoteReference w:id="16"/>
      </w:r>
      <w:r>
        <w:rPr>
          <w:sz w:val="24"/>
          <w:szCs w:val="24"/>
        </w:rPr>
        <w:t xml:space="preserve"> Also, the periods of peace between the Venetians and the Ottomans further allowed for coexistence.</w:t>
      </w:r>
      <w:r>
        <w:rPr>
          <w:sz w:val="24"/>
          <w:szCs w:val="24"/>
          <w:vertAlign w:val="superscript"/>
        </w:rPr>
        <w:footnoteReference w:id="17"/>
      </w:r>
      <w:r>
        <w:rPr>
          <w:sz w:val="24"/>
          <w:szCs w:val="24"/>
        </w:rPr>
        <w:t xml:space="preserve"> Consequently, it enabled merchants such as the author to purchase </w:t>
      </w:r>
      <w:r>
        <w:rPr>
          <w:sz w:val="24"/>
          <w:szCs w:val="24"/>
        </w:rPr>
        <w:lastRenderedPageBreak/>
        <w:t xml:space="preserve">property in the city </w:t>
      </w:r>
      <w:r>
        <w:rPr>
          <w:sz w:val="24"/>
          <w:szCs w:val="24"/>
        </w:rPr>
        <w:t>and make varied lifestyle choices, similar to early London’s reputation among traders.</w:t>
      </w:r>
      <w:r>
        <w:rPr>
          <w:sz w:val="24"/>
          <w:szCs w:val="24"/>
          <w:vertAlign w:val="superscript"/>
        </w:rPr>
        <w:footnoteReference w:id="18"/>
      </w:r>
    </w:p>
    <w:p w14:paraId="00000018" w14:textId="2C7D9704" w:rsidR="007A4942" w:rsidRDefault="0011685B">
      <w:pPr>
        <w:spacing w:line="480" w:lineRule="auto"/>
        <w:rPr>
          <w:sz w:val="24"/>
          <w:szCs w:val="24"/>
        </w:rPr>
      </w:pPr>
      <w:r>
        <w:rPr>
          <w:sz w:val="24"/>
          <w:szCs w:val="24"/>
        </w:rPr>
        <w:tab/>
        <w:t>I explained the guild system, which was integral to the market’s sustained success. Among other things, it imposed standards for traded goods as well as set guideline</w:t>
      </w:r>
      <w:r>
        <w:rPr>
          <w:sz w:val="24"/>
          <w:szCs w:val="24"/>
        </w:rPr>
        <w:t>s for managing competition and innovation.</w:t>
      </w:r>
      <w:r>
        <w:rPr>
          <w:sz w:val="24"/>
          <w:szCs w:val="24"/>
          <w:vertAlign w:val="superscript"/>
        </w:rPr>
        <w:footnoteReference w:id="19"/>
      </w:r>
      <w:r>
        <w:rPr>
          <w:sz w:val="24"/>
          <w:szCs w:val="24"/>
        </w:rPr>
        <w:t xml:space="preserve"> This helped maintain stable business patterns and preserve traditional customs.</w:t>
      </w:r>
      <w:r>
        <w:rPr>
          <w:sz w:val="24"/>
          <w:szCs w:val="24"/>
          <w:vertAlign w:val="superscript"/>
        </w:rPr>
        <w:footnoteReference w:id="20"/>
      </w:r>
      <w:r>
        <w:rPr>
          <w:sz w:val="24"/>
          <w:szCs w:val="24"/>
        </w:rPr>
        <w:t xml:space="preserve"> This financial structure was quite a successful one for the time, </w:t>
      </w:r>
      <w:r w:rsidR="00595554">
        <w:rPr>
          <w:sz w:val="24"/>
          <w:szCs w:val="24"/>
        </w:rPr>
        <w:t>like</w:t>
      </w:r>
      <w:r>
        <w:rPr>
          <w:sz w:val="24"/>
          <w:szCs w:val="24"/>
        </w:rPr>
        <w:t xml:space="preserve"> how the stock exchange was for Amsterdam.</w:t>
      </w:r>
      <w:r>
        <w:rPr>
          <w:sz w:val="24"/>
          <w:szCs w:val="24"/>
          <w:vertAlign w:val="superscript"/>
        </w:rPr>
        <w:footnoteReference w:id="21"/>
      </w:r>
      <w:r>
        <w:rPr>
          <w:sz w:val="24"/>
          <w:szCs w:val="24"/>
        </w:rPr>
        <w:t xml:space="preserve"> As such,</w:t>
      </w:r>
      <w:r>
        <w:rPr>
          <w:sz w:val="24"/>
          <w:szCs w:val="24"/>
        </w:rPr>
        <w:t xml:space="preserve"> I did my best to represent the author’s praise for the system.</w:t>
      </w:r>
    </w:p>
    <w:p w14:paraId="00000019" w14:textId="77777777" w:rsidR="007A4942" w:rsidRDefault="0011685B">
      <w:pPr>
        <w:spacing w:line="480" w:lineRule="auto"/>
        <w:ind w:firstLine="720"/>
        <w:rPr>
          <w:sz w:val="24"/>
          <w:szCs w:val="24"/>
        </w:rPr>
      </w:pPr>
      <w:r>
        <w:rPr>
          <w:sz w:val="24"/>
          <w:szCs w:val="24"/>
        </w:rPr>
        <w:t>Islam as a unifying religion was also a determinant for success. Its guilds were highly successful,</w:t>
      </w:r>
      <w:r>
        <w:rPr>
          <w:sz w:val="24"/>
          <w:szCs w:val="24"/>
          <w:vertAlign w:val="superscript"/>
        </w:rPr>
        <w:footnoteReference w:id="22"/>
      </w:r>
      <w:r>
        <w:rPr>
          <w:sz w:val="24"/>
          <w:szCs w:val="24"/>
        </w:rPr>
        <w:t xml:space="preserve"> replacing the previous Roman guilds</w:t>
      </w:r>
      <w:r>
        <w:rPr>
          <w:sz w:val="24"/>
          <w:szCs w:val="24"/>
          <w:vertAlign w:val="superscript"/>
        </w:rPr>
        <w:footnoteReference w:id="23"/>
      </w:r>
      <w:r>
        <w:rPr>
          <w:sz w:val="24"/>
          <w:szCs w:val="24"/>
        </w:rPr>
        <w:t xml:space="preserve">. Following the lectures, this is partly because the </w:t>
      </w:r>
      <w:r>
        <w:rPr>
          <w:sz w:val="24"/>
          <w:szCs w:val="24"/>
        </w:rPr>
        <w:t>Qur’an provides comprehensive guidelines for conducting trade;</w:t>
      </w:r>
      <w:r>
        <w:rPr>
          <w:sz w:val="24"/>
          <w:szCs w:val="24"/>
          <w:vertAlign w:val="superscript"/>
        </w:rPr>
        <w:footnoteReference w:id="24"/>
      </w:r>
      <w:r>
        <w:rPr>
          <w:sz w:val="24"/>
          <w:szCs w:val="24"/>
        </w:rPr>
        <w:t xml:space="preserve"> it upholds principles such as freedom, justice and manners.</w:t>
      </w:r>
      <w:r>
        <w:rPr>
          <w:sz w:val="24"/>
          <w:szCs w:val="24"/>
          <w:vertAlign w:val="superscript"/>
        </w:rPr>
        <w:footnoteReference w:id="25"/>
      </w:r>
      <w:r>
        <w:rPr>
          <w:sz w:val="24"/>
          <w:szCs w:val="24"/>
        </w:rPr>
        <w:t xml:space="preserve"> As a result, it is easier to trade with others within an Islam-based guild. In addition, merchants would often look after each ot</w:t>
      </w:r>
      <w:r>
        <w:rPr>
          <w:sz w:val="24"/>
          <w:szCs w:val="24"/>
        </w:rPr>
        <w:t xml:space="preserve">her’s wares during prayer, instilling a </w:t>
      </w:r>
      <w:r>
        <w:rPr>
          <w:sz w:val="24"/>
          <w:szCs w:val="24"/>
        </w:rPr>
        <w:lastRenderedPageBreak/>
        <w:t>deeper level of mutual trust and understanding.</w:t>
      </w:r>
      <w:r>
        <w:rPr>
          <w:sz w:val="24"/>
          <w:szCs w:val="24"/>
          <w:vertAlign w:val="superscript"/>
        </w:rPr>
        <w:footnoteReference w:id="26"/>
      </w:r>
      <w:r>
        <w:rPr>
          <w:sz w:val="24"/>
          <w:szCs w:val="24"/>
        </w:rPr>
        <w:t xml:space="preserve"> In my travelogue, I contrasted these customs with European standards, inciting envy within the author.</w:t>
      </w:r>
    </w:p>
    <w:p w14:paraId="0000001A" w14:textId="77777777" w:rsidR="007A4942" w:rsidRDefault="0011685B">
      <w:pPr>
        <w:spacing w:line="480" w:lineRule="auto"/>
        <w:ind w:firstLine="720"/>
        <w:rPr>
          <w:sz w:val="24"/>
          <w:szCs w:val="24"/>
        </w:rPr>
      </w:pPr>
      <w:r>
        <w:rPr>
          <w:sz w:val="24"/>
          <w:szCs w:val="24"/>
        </w:rPr>
        <w:t xml:space="preserve">In conclusion, the travelogue focuses on Constantinople’s role </w:t>
      </w:r>
      <w:r>
        <w:rPr>
          <w:sz w:val="24"/>
          <w:szCs w:val="24"/>
        </w:rPr>
        <w:t xml:space="preserve">as a city of power and commerce, drawing inspiration from lectures on Angkor Wat, London, Amsterdam and Melaka. If I were to choose a different time period, I would choose the time right after the </w:t>
      </w:r>
      <w:proofErr w:type="spellStart"/>
      <w:r>
        <w:rPr>
          <w:sz w:val="24"/>
          <w:szCs w:val="24"/>
        </w:rPr>
        <w:t>Suleymaniye</w:t>
      </w:r>
      <w:proofErr w:type="spellEnd"/>
      <w:r>
        <w:rPr>
          <w:sz w:val="24"/>
          <w:szCs w:val="24"/>
        </w:rPr>
        <w:t xml:space="preserve"> Mosque was built, as that would give me the opp</w:t>
      </w:r>
      <w:r>
        <w:rPr>
          <w:sz w:val="24"/>
          <w:szCs w:val="24"/>
        </w:rPr>
        <w:t>ortunity to talk about Constantinople’s transformation. I could also talk about the city’s Hippodrome and the aqueducts,</w:t>
      </w:r>
      <w:r>
        <w:rPr>
          <w:sz w:val="24"/>
          <w:szCs w:val="24"/>
          <w:vertAlign w:val="superscript"/>
        </w:rPr>
        <w:footnoteReference w:id="27"/>
      </w:r>
      <w:r>
        <w:rPr>
          <w:sz w:val="24"/>
          <w:szCs w:val="24"/>
        </w:rPr>
        <w:t xml:space="preserve"> bringing about sustainable growth. But I think the current travelogue brings about a more convincing and compelling story about the c</w:t>
      </w:r>
      <w:r>
        <w:rPr>
          <w:sz w:val="24"/>
          <w:szCs w:val="24"/>
        </w:rPr>
        <w:t>ity.</w:t>
      </w:r>
    </w:p>
    <w:p w14:paraId="0000001B" w14:textId="77777777" w:rsidR="007A4942" w:rsidRDefault="007A4942">
      <w:pPr>
        <w:spacing w:line="480" w:lineRule="auto"/>
        <w:ind w:firstLine="720"/>
        <w:rPr>
          <w:sz w:val="24"/>
          <w:szCs w:val="24"/>
        </w:rPr>
      </w:pPr>
    </w:p>
    <w:p w14:paraId="0000001C" w14:textId="77777777" w:rsidR="007A4942" w:rsidRDefault="0011685B">
      <w:pPr>
        <w:spacing w:line="480" w:lineRule="auto"/>
        <w:ind w:firstLine="720"/>
        <w:rPr>
          <w:sz w:val="24"/>
          <w:szCs w:val="24"/>
        </w:rPr>
      </w:pPr>
      <w:r>
        <w:br w:type="page"/>
      </w:r>
    </w:p>
    <w:p w14:paraId="0000001D" w14:textId="77777777" w:rsidR="007A4942" w:rsidRDefault="0011685B">
      <w:pPr>
        <w:spacing w:line="480" w:lineRule="auto"/>
        <w:rPr>
          <w:sz w:val="24"/>
          <w:szCs w:val="24"/>
        </w:rPr>
      </w:pPr>
      <w:r>
        <w:rPr>
          <w:sz w:val="24"/>
          <w:szCs w:val="24"/>
        </w:rPr>
        <w:lastRenderedPageBreak/>
        <w:t>Bibliography</w:t>
      </w:r>
    </w:p>
    <w:p w14:paraId="0000001E" w14:textId="77777777" w:rsidR="007A4942" w:rsidRDefault="0011685B">
      <w:pPr>
        <w:spacing w:before="240" w:after="240" w:line="480" w:lineRule="auto"/>
        <w:ind w:firstLine="720"/>
        <w:rPr>
          <w:sz w:val="24"/>
          <w:szCs w:val="24"/>
        </w:rPr>
      </w:pPr>
      <w:proofErr w:type="spellStart"/>
      <w:r>
        <w:rPr>
          <w:sz w:val="24"/>
          <w:szCs w:val="24"/>
        </w:rPr>
        <w:t>Angold</w:t>
      </w:r>
      <w:proofErr w:type="spellEnd"/>
      <w:r>
        <w:rPr>
          <w:sz w:val="24"/>
          <w:szCs w:val="24"/>
        </w:rPr>
        <w:t xml:space="preserve">, Michael. “Turning Points in History: The Fall of Constantinople.”, 11-13. Accessed March 19, 2022. </w:t>
      </w:r>
      <w:hyperlink r:id="rId6">
        <w:r>
          <w:rPr>
            <w:color w:val="1155CC"/>
            <w:sz w:val="24"/>
            <w:szCs w:val="24"/>
            <w:u w:val="single"/>
          </w:rPr>
          <w:t>https://www.researchgate.net/publication/296354931_Turning_points_in_history_The_fall_of_constantinople</w:t>
        </w:r>
      </w:hyperlink>
      <w:r>
        <w:rPr>
          <w:sz w:val="24"/>
          <w:szCs w:val="24"/>
        </w:rPr>
        <w:t>.</w:t>
      </w:r>
    </w:p>
    <w:p w14:paraId="0000001F" w14:textId="77777777" w:rsidR="007A4942" w:rsidRDefault="0011685B">
      <w:pPr>
        <w:spacing w:before="240" w:after="240" w:line="480" w:lineRule="auto"/>
        <w:ind w:firstLine="720"/>
        <w:rPr>
          <w:sz w:val="24"/>
          <w:szCs w:val="24"/>
        </w:rPr>
      </w:pPr>
      <w:r>
        <w:rPr>
          <w:sz w:val="24"/>
          <w:szCs w:val="24"/>
        </w:rPr>
        <w:t>Arya, Darius. “Ancient Invisib</w:t>
      </w:r>
      <w:r>
        <w:rPr>
          <w:sz w:val="24"/>
          <w:szCs w:val="24"/>
        </w:rPr>
        <w:t xml:space="preserve">le Cities, Episode 3: Istanbul.” YouTube. PBS, October 25, 2018. </w:t>
      </w:r>
      <w:hyperlink r:id="rId7">
        <w:r>
          <w:rPr>
            <w:color w:val="1155CC"/>
            <w:sz w:val="24"/>
            <w:szCs w:val="24"/>
            <w:u w:val="single"/>
          </w:rPr>
          <w:t>https://www.youtube.com/watch?v=lsTTjP0fSYQ</w:t>
        </w:r>
      </w:hyperlink>
      <w:r>
        <w:rPr>
          <w:sz w:val="24"/>
          <w:szCs w:val="24"/>
        </w:rPr>
        <w:t>.</w:t>
      </w:r>
    </w:p>
    <w:p w14:paraId="00000020" w14:textId="77777777" w:rsidR="007A4942" w:rsidRDefault="0011685B">
      <w:pPr>
        <w:spacing w:before="240" w:after="240" w:line="480" w:lineRule="auto"/>
        <w:ind w:firstLine="720"/>
        <w:rPr>
          <w:sz w:val="24"/>
          <w:szCs w:val="24"/>
        </w:rPr>
      </w:pPr>
      <w:r>
        <w:rPr>
          <w:sz w:val="24"/>
          <w:szCs w:val="24"/>
        </w:rPr>
        <w:t xml:space="preserve">Bashir, Mohamed Sharif. “Islamic Ethics in Business and Trade.” Accessed March 20, </w:t>
      </w:r>
      <w:r>
        <w:rPr>
          <w:sz w:val="24"/>
          <w:szCs w:val="24"/>
        </w:rPr>
        <w:t xml:space="preserve">2022. </w:t>
      </w:r>
      <w:hyperlink r:id="rId8">
        <w:r>
          <w:rPr>
            <w:color w:val="1155CC"/>
            <w:sz w:val="24"/>
            <w:szCs w:val="24"/>
            <w:u w:val="single"/>
          </w:rPr>
          <w:t>https://www.researchgate.net/publication/310258020_Islamic_Ethics_in_Business_and_Trade</w:t>
        </w:r>
      </w:hyperlink>
      <w:r>
        <w:rPr>
          <w:sz w:val="24"/>
          <w:szCs w:val="24"/>
        </w:rPr>
        <w:t>.</w:t>
      </w:r>
    </w:p>
    <w:p w14:paraId="00000021" w14:textId="77777777" w:rsidR="007A4942" w:rsidRDefault="0011685B">
      <w:pPr>
        <w:spacing w:before="240" w:after="240" w:line="480" w:lineRule="auto"/>
        <w:ind w:firstLine="720"/>
        <w:rPr>
          <w:sz w:val="24"/>
          <w:szCs w:val="24"/>
        </w:rPr>
      </w:pPr>
      <w:proofErr w:type="spellStart"/>
      <w:r>
        <w:rPr>
          <w:sz w:val="24"/>
          <w:szCs w:val="24"/>
        </w:rPr>
        <w:t>Borgato</w:t>
      </w:r>
      <w:proofErr w:type="spellEnd"/>
      <w:r>
        <w:rPr>
          <w:sz w:val="24"/>
          <w:szCs w:val="24"/>
        </w:rPr>
        <w:t xml:space="preserve">, Maria Teresa. “The First Applications of the </w:t>
      </w:r>
      <w:r>
        <w:rPr>
          <w:sz w:val="24"/>
          <w:szCs w:val="24"/>
        </w:rPr>
        <w:t xml:space="preserve">Metric System in Italy.”, 430-431. Accessed March 19, 2022. </w:t>
      </w:r>
      <w:hyperlink r:id="rId9">
        <w:r>
          <w:rPr>
            <w:color w:val="1155CC"/>
            <w:sz w:val="24"/>
            <w:szCs w:val="24"/>
            <w:u w:val="single"/>
          </w:rPr>
          <w:t>http://www.2iceshs.cyfronet.pl/2ICESHS_Proceedings/Chapter_16/R-8_Borgato.pdf</w:t>
        </w:r>
      </w:hyperlink>
      <w:r>
        <w:rPr>
          <w:sz w:val="24"/>
          <w:szCs w:val="24"/>
        </w:rPr>
        <w:t>.</w:t>
      </w:r>
    </w:p>
    <w:p w14:paraId="00000022" w14:textId="77777777" w:rsidR="007A4942" w:rsidRDefault="0011685B">
      <w:pPr>
        <w:spacing w:before="240" w:after="240" w:line="480" w:lineRule="auto"/>
        <w:ind w:firstLine="720"/>
        <w:rPr>
          <w:sz w:val="24"/>
          <w:szCs w:val="24"/>
        </w:rPr>
      </w:pPr>
      <w:proofErr w:type="spellStart"/>
      <w:r>
        <w:rPr>
          <w:sz w:val="24"/>
          <w:szCs w:val="24"/>
        </w:rPr>
        <w:t>Bulut</w:t>
      </w:r>
      <w:proofErr w:type="spellEnd"/>
      <w:r>
        <w:rPr>
          <w:sz w:val="24"/>
          <w:szCs w:val="24"/>
        </w:rPr>
        <w:t xml:space="preserve">, Mehmet. “The </w:t>
      </w:r>
      <w:r>
        <w:rPr>
          <w:sz w:val="24"/>
          <w:szCs w:val="24"/>
        </w:rPr>
        <w:t xml:space="preserve">Role of the Ottomans and Dutch in the Commercial Integration between the Levant and Atlantic in the Seventeenth Century.”, 197-199. Accessed March 20, 2022. </w:t>
      </w:r>
      <w:hyperlink r:id="rId10">
        <w:r>
          <w:rPr>
            <w:color w:val="1155CC"/>
            <w:sz w:val="24"/>
            <w:szCs w:val="24"/>
            <w:u w:val="single"/>
          </w:rPr>
          <w:t>http://www.jstor.org/stable/3632841</w:t>
        </w:r>
      </w:hyperlink>
      <w:r>
        <w:rPr>
          <w:sz w:val="24"/>
          <w:szCs w:val="24"/>
        </w:rPr>
        <w:t>.</w:t>
      </w:r>
    </w:p>
    <w:p w14:paraId="00000023" w14:textId="77777777" w:rsidR="007A4942" w:rsidRDefault="0011685B">
      <w:pPr>
        <w:spacing w:before="240" w:after="240" w:line="480" w:lineRule="auto"/>
        <w:ind w:firstLine="720"/>
        <w:rPr>
          <w:sz w:val="24"/>
          <w:szCs w:val="24"/>
        </w:rPr>
      </w:pPr>
      <w:proofErr w:type="spellStart"/>
      <w:r>
        <w:rPr>
          <w:sz w:val="24"/>
          <w:szCs w:val="24"/>
        </w:rPr>
        <w:t>Kuan</w:t>
      </w:r>
      <w:proofErr w:type="spellEnd"/>
      <w:r>
        <w:rPr>
          <w:sz w:val="24"/>
          <w:szCs w:val="24"/>
        </w:rPr>
        <w:t xml:space="preserve">, Chou Ta. In </w:t>
      </w:r>
      <w:r>
        <w:rPr>
          <w:i/>
          <w:sz w:val="24"/>
          <w:szCs w:val="24"/>
        </w:rPr>
        <w:t>The Walled City</w:t>
      </w:r>
      <w:r>
        <w:rPr>
          <w:sz w:val="24"/>
          <w:szCs w:val="24"/>
        </w:rPr>
        <w:t>, 2–3, n.d.</w:t>
      </w:r>
    </w:p>
    <w:p w14:paraId="00000024" w14:textId="77777777" w:rsidR="007A4942" w:rsidRDefault="0011685B">
      <w:pPr>
        <w:spacing w:before="240" w:after="240" w:line="480" w:lineRule="auto"/>
        <w:ind w:firstLine="720"/>
        <w:rPr>
          <w:sz w:val="24"/>
          <w:szCs w:val="24"/>
        </w:rPr>
      </w:pPr>
      <w:r>
        <w:rPr>
          <w:sz w:val="24"/>
          <w:szCs w:val="24"/>
        </w:rPr>
        <w:t xml:space="preserve">Clark, Greg. “How Cities Took over the World: A History of Globalisation Spanning 4,000 Years.” The Guardian. Guardian News and Media, December 1, 2016. </w:t>
      </w:r>
      <w:hyperlink r:id="rId11">
        <w:r>
          <w:rPr>
            <w:color w:val="1155CC"/>
            <w:sz w:val="24"/>
            <w:szCs w:val="24"/>
            <w:u w:val="single"/>
          </w:rPr>
          <w:t>https://www.theguardian.com/cities/2016/dec/01/how-cities-took-over-the-world-a-history-of-globalisation-spanning-4000-years</w:t>
        </w:r>
      </w:hyperlink>
      <w:r>
        <w:rPr>
          <w:sz w:val="24"/>
          <w:szCs w:val="24"/>
        </w:rPr>
        <w:t>.</w:t>
      </w:r>
    </w:p>
    <w:p w14:paraId="00000025" w14:textId="77777777" w:rsidR="007A4942" w:rsidRDefault="0011685B">
      <w:pPr>
        <w:spacing w:before="240" w:after="240" w:line="480" w:lineRule="auto"/>
        <w:ind w:firstLine="720"/>
        <w:rPr>
          <w:sz w:val="24"/>
          <w:szCs w:val="24"/>
        </w:rPr>
      </w:pPr>
      <w:proofErr w:type="spellStart"/>
      <w:r>
        <w:rPr>
          <w:sz w:val="24"/>
          <w:szCs w:val="24"/>
        </w:rPr>
        <w:lastRenderedPageBreak/>
        <w:t>Dursteler</w:t>
      </w:r>
      <w:proofErr w:type="spellEnd"/>
      <w:r>
        <w:rPr>
          <w:sz w:val="24"/>
          <w:szCs w:val="24"/>
        </w:rPr>
        <w:t xml:space="preserve">, Eric R. “Coexistence.” In </w:t>
      </w:r>
      <w:r>
        <w:rPr>
          <w:i/>
          <w:sz w:val="24"/>
          <w:szCs w:val="24"/>
        </w:rPr>
        <w:t>Venetia</w:t>
      </w:r>
      <w:r>
        <w:rPr>
          <w:i/>
          <w:sz w:val="24"/>
          <w:szCs w:val="24"/>
        </w:rPr>
        <w:t>ns in Constantinople Nation, Identity, and Coexistence in the Early Modern Mediterranean</w:t>
      </w:r>
      <w:r>
        <w:rPr>
          <w:sz w:val="24"/>
          <w:szCs w:val="24"/>
        </w:rPr>
        <w:t>, 2–7. Baltimore: Johns Hopkins University Press, 2008.</w:t>
      </w:r>
    </w:p>
    <w:p w14:paraId="00000026" w14:textId="77777777" w:rsidR="007A4942" w:rsidRDefault="0011685B">
      <w:pPr>
        <w:spacing w:before="240" w:after="240" w:line="480" w:lineRule="auto"/>
        <w:ind w:firstLine="720"/>
        <w:rPr>
          <w:sz w:val="24"/>
          <w:szCs w:val="24"/>
        </w:rPr>
      </w:pPr>
      <w:r>
        <w:rPr>
          <w:sz w:val="24"/>
          <w:szCs w:val="24"/>
        </w:rPr>
        <w:t xml:space="preserve">Fleming, Katherine Elizabeth. “Constantinople: From Christianity to Islam.”, 69-78. Accessed March 19, 2022. </w:t>
      </w:r>
      <w:hyperlink r:id="rId12">
        <w:r>
          <w:rPr>
            <w:color w:val="1155CC"/>
            <w:sz w:val="24"/>
            <w:szCs w:val="24"/>
            <w:u w:val="single"/>
          </w:rPr>
          <w:t>https://www.jstor.org/stable/4352826</w:t>
        </w:r>
      </w:hyperlink>
      <w:r>
        <w:rPr>
          <w:sz w:val="24"/>
          <w:szCs w:val="24"/>
        </w:rPr>
        <w:t>.</w:t>
      </w:r>
    </w:p>
    <w:p w14:paraId="00000027" w14:textId="77777777" w:rsidR="007A4942" w:rsidRDefault="0011685B">
      <w:pPr>
        <w:spacing w:before="240" w:after="240" w:line="480" w:lineRule="auto"/>
        <w:ind w:firstLine="720"/>
        <w:rPr>
          <w:sz w:val="24"/>
          <w:szCs w:val="24"/>
        </w:rPr>
      </w:pPr>
      <w:r>
        <w:rPr>
          <w:sz w:val="24"/>
          <w:szCs w:val="24"/>
        </w:rPr>
        <w:t xml:space="preserve">Goodyear, Michael. “Heaven or Earth: The Hagia Sophia Re-Conversion, Turkish and International Law, and Universal Religious Sites.”, 52-53. SSRN, October 14, 2020. </w:t>
      </w:r>
      <w:hyperlink r:id="rId13">
        <w:r>
          <w:rPr>
            <w:color w:val="1155CC"/>
            <w:sz w:val="24"/>
            <w:szCs w:val="24"/>
            <w:u w:val="single"/>
          </w:rPr>
          <w:t>https://papers.ssrn.com/sol3/papers.cfm?abstract_id=3680139</w:t>
        </w:r>
      </w:hyperlink>
      <w:r>
        <w:rPr>
          <w:sz w:val="24"/>
          <w:szCs w:val="24"/>
        </w:rPr>
        <w:t>.</w:t>
      </w:r>
    </w:p>
    <w:p w14:paraId="00000028" w14:textId="77777777" w:rsidR="007A4942" w:rsidRDefault="0011685B">
      <w:pPr>
        <w:spacing w:before="240" w:after="240" w:line="480" w:lineRule="auto"/>
        <w:ind w:firstLine="720"/>
        <w:rPr>
          <w:sz w:val="24"/>
          <w:szCs w:val="24"/>
        </w:rPr>
      </w:pPr>
      <w:r>
        <w:rPr>
          <w:sz w:val="24"/>
          <w:szCs w:val="24"/>
        </w:rPr>
        <w:t xml:space="preserve">Hall, Peter Geoffrey. “The Imperial Capital.” Essay. In </w:t>
      </w:r>
      <w:r>
        <w:rPr>
          <w:i/>
          <w:sz w:val="24"/>
          <w:szCs w:val="24"/>
        </w:rPr>
        <w:t>Cities in Civilization</w:t>
      </w:r>
      <w:r>
        <w:rPr>
          <w:sz w:val="24"/>
          <w:szCs w:val="24"/>
        </w:rPr>
        <w:t>, 646–48. New York: Fromm International</w:t>
      </w:r>
      <w:r>
        <w:rPr>
          <w:sz w:val="24"/>
          <w:szCs w:val="24"/>
        </w:rPr>
        <w:t>, 2001.</w:t>
      </w:r>
    </w:p>
    <w:p w14:paraId="00000029" w14:textId="77777777" w:rsidR="007A4942" w:rsidRDefault="0011685B">
      <w:pPr>
        <w:spacing w:before="240" w:after="240" w:line="480" w:lineRule="auto"/>
        <w:ind w:firstLine="720"/>
        <w:rPr>
          <w:sz w:val="24"/>
          <w:szCs w:val="24"/>
        </w:rPr>
      </w:pPr>
      <w:proofErr w:type="spellStart"/>
      <w:r>
        <w:rPr>
          <w:sz w:val="24"/>
          <w:szCs w:val="24"/>
        </w:rPr>
        <w:t>Inalcik</w:t>
      </w:r>
      <w:proofErr w:type="spellEnd"/>
      <w:r>
        <w:rPr>
          <w:sz w:val="24"/>
          <w:szCs w:val="24"/>
        </w:rPr>
        <w:t xml:space="preserve">, </w:t>
      </w:r>
      <w:proofErr w:type="spellStart"/>
      <w:r>
        <w:rPr>
          <w:sz w:val="24"/>
          <w:szCs w:val="24"/>
        </w:rPr>
        <w:t>Halil</w:t>
      </w:r>
      <w:proofErr w:type="spellEnd"/>
      <w:r>
        <w:rPr>
          <w:sz w:val="24"/>
          <w:szCs w:val="24"/>
        </w:rPr>
        <w:t xml:space="preserve">. “Istanbul: An Islamic City.” Accessed March 20, 2022. </w:t>
      </w:r>
      <w:hyperlink r:id="rId14">
        <w:r>
          <w:rPr>
            <w:color w:val="1155CC"/>
            <w:sz w:val="24"/>
            <w:szCs w:val="24"/>
            <w:u w:val="single"/>
          </w:rPr>
          <w:t>https://www.jstor.org/stable/26195665</w:t>
        </w:r>
      </w:hyperlink>
      <w:r>
        <w:rPr>
          <w:sz w:val="24"/>
          <w:szCs w:val="24"/>
        </w:rPr>
        <w:t>.</w:t>
      </w:r>
    </w:p>
    <w:p w14:paraId="0000002A" w14:textId="77777777" w:rsidR="007A4942" w:rsidRDefault="0011685B">
      <w:pPr>
        <w:spacing w:before="240" w:after="240" w:line="480" w:lineRule="auto"/>
        <w:ind w:firstLine="720"/>
        <w:rPr>
          <w:sz w:val="24"/>
          <w:szCs w:val="24"/>
        </w:rPr>
      </w:pPr>
      <w:proofErr w:type="spellStart"/>
      <w:r>
        <w:rPr>
          <w:sz w:val="24"/>
          <w:szCs w:val="24"/>
        </w:rPr>
        <w:t>Katkak</w:t>
      </w:r>
      <w:proofErr w:type="spellEnd"/>
      <w:r>
        <w:rPr>
          <w:sz w:val="24"/>
          <w:szCs w:val="24"/>
        </w:rPr>
        <w:t xml:space="preserve">, </w:t>
      </w:r>
      <w:proofErr w:type="spellStart"/>
      <w:r>
        <w:rPr>
          <w:sz w:val="24"/>
          <w:szCs w:val="24"/>
        </w:rPr>
        <w:t>Bülent</w:t>
      </w:r>
      <w:proofErr w:type="spellEnd"/>
      <w:r>
        <w:rPr>
          <w:sz w:val="24"/>
          <w:szCs w:val="24"/>
        </w:rPr>
        <w:t xml:space="preserve">. “The Grand Bazaar.” Essay. In </w:t>
      </w:r>
      <w:r>
        <w:rPr>
          <w:i/>
          <w:sz w:val="24"/>
          <w:szCs w:val="24"/>
        </w:rPr>
        <w:t>From Past to Present Historical Ista</w:t>
      </w:r>
      <w:r>
        <w:rPr>
          <w:i/>
          <w:sz w:val="24"/>
          <w:szCs w:val="24"/>
        </w:rPr>
        <w:t>nbul Bazaars</w:t>
      </w:r>
      <w:r>
        <w:rPr>
          <w:sz w:val="24"/>
          <w:szCs w:val="24"/>
        </w:rPr>
        <w:t>, 1st ed., 37–38. Istanbul, Turkey: Touring and Automobile Association, 2020.</w:t>
      </w:r>
    </w:p>
    <w:p w14:paraId="0000002B" w14:textId="77777777" w:rsidR="007A4942" w:rsidRDefault="0011685B">
      <w:pPr>
        <w:spacing w:before="240" w:after="240" w:line="480" w:lineRule="auto"/>
        <w:ind w:firstLine="720"/>
        <w:rPr>
          <w:sz w:val="24"/>
          <w:szCs w:val="24"/>
        </w:rPr>
      </w:pPr>
      <w:r>
        <w:rPr>
          <w:sz w:val="24"/>
          <w:szCs w:val="24"/>
        </w:rPr>
        <w:t xml:space="preserve">Lewis, Bernard. “The Islamic Guilds.” Accessed March 20, 2022. </w:t>
      </w:r>
      <w:hyperlink r:id="rId15">
        <w:r>
          <w:rPr>
            <w:color w:val="1155CC"/>
            <w:sz w:val="24"/>
            <w:szCs w:val="24"/>
            <w:u w:val="single"/>
          </w:rPr>
          <w:t>https://www.jstor.org/stable/2590356</w:t>
        </w:r>
      </w:hyperlink>
      <w:r>
        <w:rPr>
          <w:sz w:val="24"/>
          <w:szCs w:val="24"/>
        </w:rPr>
        <w:t>.</w:t>
      </w:r>
    </w:p>
    <w:p w14:paraId="0000002C" w14:textId="77777777" w:rsidR="007A4942" w:rsidRDefault="0011685B">
      <w:pPr>
        <w:spacing w:before="240" w:after="240" w:line="480" w:lineRule="auto"/>
        <w:ind w:firstLine="720"/>
        <w:rPr>
          <w:sz w:val="24"/>
          <w:szCs w:val="24"/>
        </w:rPr>
      </w:pPr>
      <w:proofErr w:type="spellStart"/>
      <w:r>
        <w:rPr>
          <w:sz w:val="24"/>
          <w:szCs w:val="24"/>
        </w:rPr>
        <w:t>Lybyer</w:t>
      </w:r>
      <w:proofErr w:type="spellEnd"/>
      <w:r>
        <w:rPr>
          <w:sz w:val="24"/>
          <w:szCs w:val="24"/>
        </w:rPr>
        <w:t>, A</w:t>
      </w:r>
      <w:r>
        <w:rPr>
          <w:sz w:val="24"/>
          <w:szCs w:val="24"/>
        </w:rPr>
        <w:t xml:space="preserve">lbert Howe. “The Ottoman Turks and the Routes of Oriental Trade.”, 577-588. Accessed March 20, 2022. </w:t>
      </w:r>
      <w:hyperlink r:id="rId16">
        <w:r>
          <w:rPr>
            <w:color w:val="1155CC"/>
            <w:sz w:val="24"/>
            <w:szCs w:val="24"/>
            <w:u w:val="single"/>
          </w:rPr>
          <w:t>https://www.jstor.org/stable/551296</w:t>
        </w:r>
      </w:hyperlink>
      <w:r>
        <w:rPr>
          <w:sz w:val="24"/>
          <w:szCs w:val="24"/>
        </w:rPr>
        <w:t>.</w:t>
      </w:r>
    </w:p>
    <w:p w14:paraId="0000002D" w14:textId="77777777" w:rsidR="007A4942" w:rsidRDefault="0011685B">
      <w:pPr>
        <w:spacing w:before="240" w:after="240" w:line="480" w:lineRule="auto"/>
        <w:ind w:firstLine="720"/>
        <w:rPr>
          <w:sz w:val="24"/>
          <w:szCs w:val="24"/>
        </w:rPr>
      </w:pPr>
      <w:r>
        <w:rPr>
          <w:sz w:val="24"/>
          <w:szCs w:val="24"/>
        </w:rPr>
        <w:t>National University of Singapore, “Metropolis Lecture 2.1: Angk</w:t>
      </w:r>
      <w:r>
        <w:rPr>
          <w:sz w:val="24"/>
          <w:szCs w:val="24"/>
        </w:rPr>
        <w:t xml:space="preserve">or.” </w:t>
      </w:r>
      <w:proofErr w:type="spellStart"/>
      <w:r>
        <w:rPr>
          <w:sz w:val="24"/>
          <w:szCs w:val="24"/>
        </w:rPr>
        <w:t>LumiNUS</w:t>
      </w:r>
      <w:proofErr w:type="spellEnd"/>
      <w:r>
        <w:rPr>
          <w:sz w:val="24"/>
          <w:szCs w:val="24"/>
        </w:rPr>
        <w:t xml:space="preserve">. Accessed March 19, 2022. </w:t>
      </w:r>
      <w:hyperlink r:id="rId17">
        <w:r>
          <w:rPr>
            <w:color w:val="1155CC"/>
            <w:sz w:val="24"/>
            <w:szCs w:val="24"/>
            <w:u w:val="single"/>
          </w:rPr>
          <w:t>https://luminus.nus.e</w:t>
        </w:r>
        <w:r>
          <w:rPr>
            <w:color w:val="1155CC"/>
            <w:sz w:val="24"/>
            <w:szCs w:val="24"/>
            <w:u w:val="single"/>
          </w:rPr>
          <w:t>du.sg/modules/38173da0-05fc-</w:t>
        </w:r>
        <w:r>
          <w:rPr>
            <w:color w:val="1155CC"/>
            <w:sz w:val="24"/>
            <w:szCs w:val="24"/>
            <w:u w:val="single"/>
          </w:rPr>
          <w:lastRenderedPageBreak/>
          <w:t>40ba-954b-d20389933a9c/multimedia/channels/ac934109-72bc-42a3-90ca-b803c8ce6c6b/media/view/f3cbef7c-ed8e-49ce-8178-f8771c98dfc2</w:t>
        </w:r>
      </w:hyperlink>
      <w:r>
        <w:rPr>
          <w:sz w:val="24"/>
          <w:szCs w:val="24"/>
        </w:rPr>
        <w:t>.</w:t>
      </w:r>
    </w:p>
    <w:p w14:paraId="0000002E" w14:textId="77777777" w:rsidR="007A4942" w:rsidRDefault="0011685B">
      <w:pPr>
        <w:spacing w:before="240" w:after="240" w:line="480" w:lineRule="auto"/>
        <w:ind w:firstLine="720"/>
        <w:rPr>
          <w:sz w:val="24"/>
          <w:szCs w:val="24"/>
        </w:rPr>
      </w:pPr>
      <w:r>
        <w:rPr>
          <w:sz w:val="24"/>
          <w:szCs w:val="24"/>
        </w:rPr>
        <w:t xml:space="preserve">National University of Singapore, “Metropolis Lecture 3.1: Melaka.” </w:t>
      </w:r>
      <w:proofErr w:type="spellStart"/>
      <w:r>
        <w:rPr>
          <w:sz w:val="24"/>
          <w:szCs w:val="24"/>
        </w:rPr>
        <w:t>LumiNUS</w:t>
      </w:r>
      <w:proofErr w:type="spellEnd"/>
      <w:r>
        <w:rPr>
          <w:sz w:val="24"/>
          <w:szCs w:val="24"/>
        </w:rPr>
        <w:t>. Accessed March 20, 202</w:t>
      </w:r>
      <w:r>
        <w:rPr>
          <w:sz w:val="24"/>
          <w:szCs w:val="24"/>
        </w:rPr>
        <w:t xml:space="preserve">2. </w:t>
      </w:r>
      <w:hyperlink r:id="rId18">
        <w:r>
          <w:rPr>
            <w:color w:val="1155CC"/>
            <w:sz w:val="24"/>
            <w:szCs w:val="24"/>
            <w:u w:val="single"/>
          </w:rPr>
          <w:t>https://luminus.nus.edu.sg/modules/38173da0-05fc-40ba-954</w:t>
        </w:r>
        <w:r>
          <w:rPr>
            <w:color w:val="1155CC"/>
            <w:sz w:val="24"/>
            <w:szCs w:val="24"/>
            <w:u w:val="single"/>
          </w:rPr>
          <w:t>b-d20389933a9c/multimedia/channels/ac934109-72bc-42a3-90ca-b803c8ce6c6b/media/view/85069e8d-128a-412e-9d63-c36347cb57bb</w:t>
        </w:r>
      </w:hyperlink>
      <w:r>
        <w:rPr>
          <w:sz w:val="24"/>
          <w:szCs w:val="24"/>
        </w:rPr>
        <w:t>.</w:t>
      </w:r>
    </w:p>
    <w:p w14:paraId="0000002F" w14:textId="77777777" w:rsidR="007A4942" w:rsidRDefault="0011685B">
      <w:pPr>
        <w:spacing w:before="240" w:after="240" w:line="480" w:lineRule="auto"/>
        <w:ind w:firstLine="720"/>
        <w:rPr>
          <w:sz w:val="24"/>
          <w:szCs w:val="24"/>
        </w:rPr>
      </w:pPr>
      <w:r>
        <w:rPr>
          <w:sz w:val="24"/>
          <w:szCs w:val="24"/>
        </w:rPr>
        <w:t xml:space="preserve">National University of Singapore, “Metropolis Lecture 3.2: Amsterdam.” </w:t>
      </w:r>
      <w:proofErr w:type="spellStart"/>
      <w:r>
        <w:rPr>
          <w:sz w:val="24"/>
          <w:szCs w:val="24"/>
        </w:rPr>
        <w:t>LumiNUS</w:t>
      </w:r>
      <w:proofErr w:type="spellEnd"/>
      <w:r>
        <w:rPr>
          <w:sz w:val="24"/>
          <w:szCs w:val="24"/>
        </w:rPr>
        <w:t xml:space="preserve">. Accessed March 20, 2022. </w:t>
      </w:r>
      <w:hyperlink r:id="rId19">
        <w:r>
          <w:rPr>
            <w:color w:val="1155CC"/>
            <w:sz w:val="24"/>
            <w:szCs w:val="24"/>
            <w:u w:val="single"/>
          </w:rPr>
          <w:t>https://luminus.nus.edu.sg/modules/38173da0-05fc-40ba-954b-d20389933a9c/multimedia/channel</w:t>
        </w:r>
        <w:r>
          <w:rPr>
            <w:color w:val="1155CC"/>
            <w:sz w:val="24"/>
            <w:szCs w:val="24"/>
            <w:u w:val="single"/>
          </w:rPr>
          <w:t>s/ac934109-72bc-42a3-90ca-b803c8ce6c6b/media/view/88567bb7-3bf7-451b-9ceb-aefd7687daf7</w:t>
        </w:r>
      </w:hyperlink>
      <w:r>
        <w:rPr>
          <w:sz w:val="24"/>
          <w:szCs w:val="24"/>
        </w:rPr>
        <w:t>.</w:t>
      </w:r>
    </w:p>
    <w:p w14:paraId="00000030" w14:textId="77777777" w:rsidR="007A4942" w:rsidRDefault="0011685B">
      <w:pPr>
        <w:spacing w:before="240" w:after="240" w:line="480" w:lineRule="auto"/>
        <w:ind w:firstLine="720"/>
        <w:rPr>
          <w:sz w:val="24"/>
          <w:szCs w:val="24"/>
        </w:rPr>
      </w:pPr>
      <w:r>
        <w:rPr>
          <w:sz w:val="24"/>
          <w:szCs w:val="24"/>
        </w:rPr>
        <w:t xml:space="preserve">National University of Singapore, “Metropolis Lecture 3.4: London.” </w:t>
      </w:r>
      <w:proofErr w:type="spellStart"/>
      <w:r>
        <w:rPr>
          <w:sz w:val="24"/>
          <w:szCs w:val="24"/>
        </w:rPr>
        <w:t>LumiNUS</w:t>
      </w:r>
      <w:proofErr w:type="spellEnd"/>
      <w:r>
        <w:rPr>
          <w:sz w:val="24"/>
          <w:szCs w:val="24"/>
        </w:rPr>
        <w:t xml:space="preserve">. Accessed March 20, 2022. </w:t>
      </w:r>
      <w:hyperlink r:id="rId20">
        <w:r>
          <w:rPr>
            <w:color w:val="1155CC"/>
            <w:sz w:val="24"/>
            <w:szCs w:val="24"/>
            <w:u w:val="single"/>
          </w:rPr>
          <w:t>https://luminus.nus.edu.sg/modules/38173da0-05fc-40ba-954b-d20389933a9c/multimedia/channels/ac934109-72bc-42a3-90ca-b803c8ce6c</w:t>
        </w:r>
        <w:r>
          <w:rPr>
            <w:color w:val="1155CC"/>
            <w:sz w:val="24"/>
            <w:szCs w:val="24"/>
            <w:u w:val="single"/>
          </w:rPr>
          <w:t>6b/media/view/d194d1ab-3377-438b-a82d-f89fae253698</w:t>
        </w:r>
      </w:hyperlink>
      <w:r>
        <w:rPr>
          <w:sz w:val="24"/>
          <w:szCs w:val="24"/>
        </w:rPr>
        <w:t>.</w:t>
      </w:r>
    </w:p>
    <w:p w14:paraId="00000031" w14:textId="77777777" w:rsidR="007A4942" w:rsidRDefault="0011685B">
      <w:pPr>
        <w:spacing w:before="240" w:after="240" w:line="480" w:lineRule="auto"/>
        <w:ind w:firstLine="720"/>
        <w:rPr>
          <w:sz w:val="24"/>
          <w:szCs w:val="24"/>
        </w:rPr>
      </w:pPr>
      <w:r>
        <w:rPr>
          <w:sz w:val="24"/>
          <w:szCs w:val="24"/>
        </w:rPr>
        <w:t xml:space="preserve">Penner, Hans. “Rationality and Religion: Problems in the Comparison of Modes of Thought.”, 645-671. Accessed March 20, 2022. </w:t>
      </w:r>
      <w:hyperlink r:id="rId21">
        <w:r>
          <w:rPr>
            <w:color w:val="1155CC"/>
            <w:sz w:val="24"/>
            <w:szCs w:val="24"/>
            <w:u w:val="single"/>
          </w:rPr>
          <w:t>https://www.jstor.org/stable/1463921</w:t>
        </w:r>
      </w:hyperlink>
      <w:r>
        <w:rPr>
          <w:sz w:val="24"/>
          <w:szCs w:val="24"/>
        </w:rPr>
        <w:t>.</w:t>
      </w:r>
    </w:p>
    <w:p w14:paraId="00000032" w14:textId="77777777" w:rsidR="007A4942" w:rsidRDefault="0011685B">
      <w:pPr>
        <w:spacing w:before="240" w:after="240" w:line="480" w:lineRule="auto"/>
        <w:ind w:firstLine="720"/>
        <w:rPr>
          <w:sz w:val="24"/>
          <w:szCs w:val="24"/>
        </w:rPr>
      </w:pPr>
      <w:r>
        <w:rPr>
          <w:sz w:val="24"/>
          <w:szCs w:val="24"/>
        </w:rPr>
        <w:t xml:space="preserve">Schrader, Dorothy. “The Arithmetic of the Medieval Universities.”, 264-278. Accessed March 19, 2022. </w:t>
      </w:r>
      <w:hyperlink r:id="rId22">
        <w:r>
          <w:rPr>
            <w:color w:val="1155CC"/>
            <w:sz w:val="24"/>
            <w:szCs w:val="24"/>
            <w:u w:val="single"/>
          </w:rPr>
          <w:t>https:</w:t>
        </w:r>
        <w:r>
          <w:rPr>
            <w:color w:val="1155CC"/>
            <w:sz w:val="24"/>
            <w:szCs w:val="24"/>
            <w:u w:val="single"/>
          </w:rPr>
          <w:t>//www.jstor.org/stable/27957550</w:t>
        </w:r>
      </w:hyperlink>
      <w:r>
        <w:rPr>
          <w:sz w:val="24"/>
          <w:szCs w:val="24"/>
        </w:rPr>
        <w:t>.</w:t>
      </w:r>
    </w:p>
    <w:p w14:paraId="00000033" w14:textId="77777777" w:rsidR="007A4942" w:rsidRDefault="0011685B">
      <w:pPr>
        <w:spacing w:before="240" w:after="240" w:line="480" w:lineRule="auto"/>
        <w:ind w:firstLine="720"/>
        <w:rPr>
          <w:sz w:val="24"/>
          <w:szCs w:val="24"/>
        </w:rPr>
      </w:pPr>
      <w:r>
        <w:rPr>
          <w:sz w:val="24"/>
          <w:szCs w:val="24"/>
        </w:rPr>
        <w:t xml:space="preserve">Smith, Geoff. “Medieval Gunpowder Chemistry.”, 147-166. Accessed March 19, 2022. </w:t>
      </w:r>
      <w:hyperlink r:id="rId23">
        <w:r>
          <w:rPr>
            <w:color w:val="1155CC"/>
            <w:sz w:val="24"/>
            <w:szCs w:val="24"/>
            <w:u w:val="single"/>
          </w:rPr>
          <w:t>https://www.jstor.org/stable/24721698</w:t>
        </w:r>
      </w:hyperlink>
      <w:r>
        <w:rPr>
          <w:sz w:val="24"/>
          <w:szCs w:val="24"/>
        </w:rPr>
        <w:t>.</w:t>
      </w:r>
    </w:p>
    <w:p w14:paraId="00000034" w14:textId="77777777" w:rsidR="007A4942" w:rsidRDefault="0011685B">
      <w:pPr>
        <w:spacing w:before="240" w:after="240" w:line="480" w:lineRule="auto"/>
        <w:ind w:firstLine="720"/>
        <w:rPr>
          <w:sz w:val="24"/>
          <w:szCs w:val="24"/>
        </w:rPr>
      </w:pPr>
      <w:r>
        <w:rPr>
          <w:sz w:val="24"/>
          <w:szCs w:val="24"/>
        </w:rPr>
        <w:lastRenderedPageBreak/>
        <w:t>The United Nations Office for Disaster Risk Re</w:t>
      </w:r>
      <w:r>
        <w:rPr>
          <w:sz w:val="24"/>
          <w:szCs w:val="24"/>
        </w:rPr>
        <w:t xml:space="preserve">duction. “Is Your Business Disaster Proof?”, 2-3. Accessed March 20, 2022. </w:t>
      </w:r>
      <w:hyperlink r:id="rId24">
        <w:r>
          <w:rPr>
            <w:color w:val="1155CC"/>
            <w:sz w:val="24"/>
            <w:szCs w:val="24"/>
            <w:u w:val="single"/>
          </w:rPr>
          <w:t>https://www.preventionweb.net/files/30674_privatesectorghd.pdf</w:t>
        </w:r>
      </w:hyperlink>
      <w:r>
        <w:rPr>
          <w:sz w:val="24"/>
          <w:szCs w:val="24"/>
        </w:rPr>
        <w:t>.</w:t>
      </w:r>
    </w:p>
    <w:p w14:paraId="00000035" w14:textId="77777777" w:rsidR="007A4942" w:rsidRDefault="0011685B">
      <w:pPr>
        <w:spacing w:before="240" w:after="240" w:line="480" w:lineRule="auto"/>
        <w:ind w:firstLine="720"/>
        <w:rPr>
          <w:sz w:val="24"/>
          <w:szCs w:val="24"/>
        </w:rPr>
      </w:pPr>
      <w:proofErr w:type="spellStart"/>
      <w:r>
        <w:rPr>
          <w:sz w:val="24"/>
          <w:szCs w:val="24"/>
        </w:rPr>
        <w:t>Timpe</w:t>
      </w:r>
      <w:proofErr w:type="spellEnd"/>
      <w:r>
        <w:rPr>
          <w:sz w:val="24"/>
          <w:szCs w:val="24"/>
        </w:rPr>
        <w:t xml:space="preserve">, Axel, Frank </w:t>
      </w:r>
      <w:proofErr w:type="spellStart"/>
      <w:r>
        <w:rPr>
          <w:sz w:val="24"/>
          <w:szCs w:val="24"/>
        </w:rPr>
        <w:t>Lohrberg</w:t>
      </w:r>
      <w:proofErr w:type="spellEnd"/>
      <w:r>
        <w:rPr>
          <w:sz w:val="24"/>
          <w:szCs w:val="24"/>
        </w:rPr>
        <w:t xml:space="preserve">, Tarik </w:t>
      </w:r>
      <w:r>
        <w:rPr>
          <w:sz w:val="24"/>
          <w:szCs w:val="24"/>
        </w:rPr>
        <w:t xml:space="preserve">Özel, and </w:t>
      </w:r>
      <w:proofErr w:type="spellStart"/>
      <w:r>
        <w:rPr>
          <w:sz w:val="24"/>
          <w:szCs w:val="24"/>
        </w:rPr>
        <w:t>Rizo</w:t>
      </w:r>
      <w:proofErr w:type="spellEnd"/>
      <w:r>
        <w:rPr>
          <w:sz w:val="24"/>
          <w:szCs w:val="24"/>
        </w:rPr>
        <w:t xml:space="preserve"> </w:t>
      </w:r>
      <w:proofErr w:type="spellStart"/>
      <w:r>
        <w:rPr>
          <w:sz w:val="24"/>
          <w:szCs w:val="24"/>
        </w:rPr>
        <w:t>Agovic</w:t>
      </w:r>
      <w:proofErr w:type="spellEnd"/>
      <w:r>
        <w:rPr>
          <w:sz w:val="24"/>
          <w:szCs w:val="24"/>
        </w:rPr>
        <w:t xml:space="preserve">. “Theodosian Walls &amp; Urban Agriculture.”, 6-7. Accessed March 19, 2022. </w:t>
      </w:r>
      <w:hyperlink r:id="rId25">
        <w:r>
          <w:rPr>
            <w:color w:val="1155CC"/>
            <w:sz w:val="24"/>
            <w:szCs w:val="24"/>
            <w:u w:val="single"/>
          </w:rPr>
          <w:t>https://www.researchgate.net/profile/Axel-Timpe/publication/324280795_The_Theo</w:t>
        </w:r>
        <w:r>
          <w:rPr>
            <w:color w:val="1155CC"/>
            <w:sz w:val="24"/>
            <w:szCs w:val="24"/>
            <w:u w:val="single"/>
          </w:rPr>
          <w:t>dosian_Walls_of_Istanbul_cultural_heritage_and_urban_potential_for_a_metropolis_of_the_21st_century/links/5aca0a4faca272abdc6188e0/The-Theodosian-Walls-of-Istanbul-cultural-heritage-and-urban-potential-for-a-metropolis-of-the-21st-century.pdf</w:t>
        </w:r>
      </w:hyperlink>
      <w:r>
        <w:rPr>
          <w:sz w:val="24"/>
          <w:szCs w:val="24"/>
        </w:rPr>
        <w:t>.</w:t>
      </w:r>
    </w:p>
    <w:p w14:paraId="00000036" w14:textId="77777777" w:rsidR="007A4942" w:rsidRDefault="0011685B">
      <w:pPr>
        <w:spacing w:before="240" w:after="240" w:line="480" w:lineRule="auto"/>
        <w:ind w:firstLine="720"/>
        <w:rPr>
          <w:sz w:val="24"/>
          <w:szCs w:val="24"/>
        </w:rPr>
      </w:pPr>
      <w:r>
        <w:rPr>
          <w:sz w:val="24"/>
          <w:szCs w:val="24"/>
        </w:rPr>
        <w:t xml:space="preserve">Wohl, Sharon. “The Grand Bazaar in Istanbul: The Emergent Unfolding of a Complex Adaptive System.”, 4-5, 24-25. Accessed March 20, 2022. </w:t>
      </w:r>
      <w:hyperlink r:id="rId26">
        <w:r>
          <w:rPr>
            <w:color w:val="1155CC"/>
            <w:sz w:val="24"/>
            <w:szCs w:val="24"/>
            <w:u w:val="single"/>
          </w:rPr>
          <w:t>https://www.researchgate.net/publication/271336008_The_Grand_Bazaar_in_Istanbul_The_Emergent_Unfolding_of_a_Complex_Adaptive_System</w:t>
        </w:r>
      </w:hyperlink>
      <w:r>
        <w:rPr>
          <w:sz w:val="24"/>
          <w:szCs w:val="24"/>
        </w:rPr>
        <w:t>.</w:t>
      </w:r>
    </w:p>
    <w:p w14:paraId="00000037" w14:textId="77777777" w:rsidR="007A4942" w:rsidRDefault="0011685B">
      <w:pPr>
        <w:spacing w:before="240" w:after="240" w:line="480" w:lineRule="auto"/>
        <w:ind w:firstLine="720"/>
        <w:rPr>
          <w:sz w:val="24"/>
          <w:szCs w:val="24"/>
        </w:rPr>
      </w:pPr>
      <w:r>
        <w:rPr>
          <w:sz w:val="24"/>
          <w:szCs w:val="24"/>
        </w:rPr>
        <w:t xml:space="preserve">Yi, </w:t>
      </w:r>
      <w:proofErr w:type="spellStart"/>
      <w:r>
        <w:rPr>
          <w:sz w:val="24"/>
          <w:szCs w:val="24"/>
        </w:rPr>
        <w:t>Eunjeong</w:t>
      </w:r>
      <w:proofErr w:type="spellEnd"/>
      <w:r>
        <w:rPr>
          <w:sz w:val="24"/>
          <w:szCs w:val="24"/>
        </w:rPr>
        <w:t xml:space="preserve">. “Guilds, ‘Traditionalism’ and Change.” Essay. In </w:t>
      </w:r>
      <w:r>
        <w:rPr>
          <w:i/>
          <w:sz w:val="24"/>
          <w:szCs w:val="24"/>
        </w:rPr>
        <w:t>Guild Dynamics in Seventeent</w:t>
      </w:r>
      <w:r>
        <w:rPr>
          <w:i/>
          <w:sz w:val="24"/>
          <w:szCs w:val="24"/>
        </w:rPr>
        <w:t>h-Century Istanbul Fluidity and Leverage</w:t>
      </w:r>
      <w:r>
        <w:rPr>
          <w:sz w:val="24"/>
          <w:szCs w:val="24"/>
        </w:rPr>
        <w:t>, 112–13. Leiden: Brill, 2004.</w:t>
      </w:r>
    </w:p>
    <w:sectPr w:rsidR="007A494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8F0E5" w14:textId="77777777" w:rsidR="0011685B" w:rsidRDefault="0011685B">
      <w:pPr>
        <w:spacing w:line="240" w:lineRule="auto"/>
      </w:pPr>
      <w:r>
        <w:separator/>
      </w:r>
    </w:p>
  </w:endnote>
  <w:endnote w:type="continuationSeparator" w:id="0">
    <w:p w14:paraId="26A071C9" w14:textId="77777777" w:rsidR="0011685B" w:rsidRDefault="0011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4F2A2" w14:textId="77777777" w:rsidR="0011685B" w:rsidRDefault="0011685B">
      <w:pPr>
        <w:spacing w:line="240" w:lineRule="auto"/>
      </w:pPr>
      <w:r>
        <w:separator/>
      </w:r>
    </w:p>
  </w:footnote>
  <w:footnote w:type="continuationSeparator" w:id="0">
    <w:p w14:paraId="07F3BDCD" w14:textId="77777777" w:rsidR="0011685B" w:rsidRDefault="0011685B">
      <w:pPr>
        <w:spacing w:line="240" w:lineRule="auto"/>
      </w:pPr>
      <w:r>
        <w:continuationSeparator/>
      </w:r>
    </w:p>
  </w:footnote>
  <w:footnote w:id="1">
    <w:p w14:paraId="0000003A" w14:textId="77777777" w:rsidR="007A4942" w:rsidRDefault="0011685B">
      <w:pPr>
        <w:spacing w:line="240" w:lineRule="auto"/>
        <w:rPr>
          <w:sz w:val="20"/>
          <w:szCs w:val="20"/>
        </w:rPr>
      </w:pPr>
      <w:r>
        <w:rPr>
          <w:vertAlign w:val="superscript"/>
        </w:rPr>
        <w:footnoteRef/>
      </w:r>
      <w:r>
        <w:rPr>
          <w:sz w:val="20"/>
          <w:szCs w:val="20"/>
        </w:rPr>
        <w:t xml:space="preserve"> Maria Teresa </w:t>
      </w:r>
      <w:proofErr w:type="spellStart"/>
      <w:r>
        <w:rPr>
          <w:sz w:val="20"/>
          <w:szCs w:val="20"/>
        </w:rPr>
        <w:t>Borgato</w:t>
      </w:r>
      <w:proofErr w:type="spellEnd"/>
      <w:r>
        <w:rPr>
          <w:sz w:val="20"/>
          <w:szCs w:val="20"/>
        </w:rPr>
        <w:t xml:space="preserve">, “The First Applications of the Metric System in Italy,” accessed March 19, 2022, </w:t>
      </w:r>
      <w:hyperlink r:id="rId1">
        <w:r>
          <w:rPr>
            <w:color w:val="1155CC"/>
            <w:sz w:val="20"/>
            <w:szCs w:val="20"/>
            <w:u w:val="single"/>
          </w:rPr>
          <w:t>ht</w:t>
        </w:r>
        <w:r>
          <w:rPr>
            <w:color w:val="1155CC"/>
            <w:sz w:val="20"/>
            <w:szCs w:val="20"/>
            <w:u w:val="single"/>
          </w:rPr>
          <w:t>tp://www.2iceshs.cyfronet.pl/2ICESHS_Proceedings/Chapter_16/R-8_Borgato.pdf</w:t>
        </w:r>
      </w:hyperlink>
      <w:r>
        <w:rPr>
          <w:sz w:val="20"/>
          <w:szCs w:val="20"/>
        </w:rPr>
        <w:t>., pp. 430-431.</w:t>
      </w:r>
    </w:p>
  </w:footnote>
  <w:footnote w:id="2">
    <w:p w14:paraId="0000003B" w14:textId="77777777" w:rsidR="007A4942" w:rsidRDefault="0011685B">
      <w:pPr>
        <w:spacing w:line="240" w:lineRule="auto"/>
        <w:rPr>
          <w:sz w:val="20"/>
          <w:szCs w:val="20"/>
        </w:rPr>
      </w:pPr>
      <w:r>
        <w:rPr>
          <w:vertAlign w:val="superscript"/>
        </w:rPr>
        <w:footnoteRef/>
      </w:r>
      <w:r>
        <w:rPr>
          <w:sz w:val="20"/>
          <w:szCs w:val="20"/>
        </w:rPr>
        <w:t xml:space="preserve"> Geoff Smith, “Medieval Gunpowder Chemistry,” accessed March 19, 2022, </w:t>
      </w:r>
      <w:hyperlink r:id="rId2">
        <w:r>
          <w:rPr>
            <w:color w:val="1155CC"/>
            <w:sz w:val="20"/>
            <w:szCs w:val="20"/>
            <w:u w:val="single"/>
          </w:rPr>
          <w:t>https://www.jstor.org/stable/2472169</w:t>
        </w:r>
        <w:r>
          <w:rPr>
            <w:color w:val="1155CC"/>
            <w:sz w:val="20"/>
            <w:szCs w:val="20"/>
            <w:u w:val="single"/>
          </w:rPr>
          <w:t>8</w:t>
        </w:r>
      </w:hyperlink>
      <w:r>
        <w:rPr>
          <w:sz w:val="20"/>
          <w:szCs w:val="20"/>
        </w:rPr>
        <w:t>, pp. 147-166.</w:t>
      </w:r>
    </w:p>
  </w:footnote>
  <w:footnote w:id="3">
    <w:p w14:paraId="0000003C" w14:textId="77777777" w:rsidR="007A4942" w:rsidRDefault="0011685B">
      <w:pPr>
        <w:spacing w:line="240" w:lineRule="auto"/>
        <w:rPr>
          <w:sz w:val="20"/>
          <w:szCs w:val="20"/>
        </w:rPr>
      </w:pPr>
      <w:r>
        <w:rPr>
          <w:vertAlign w:val="superscript"/>
        </w:rPr>
        <w:footnoteRef/>
      </w:r>
      <w:r>
        <w:rPr>
          <w:sz w:val="20"/>
          <w:szCs w:val="20"/>
        </w:rPr>
        <w:t xml:space="preserve"> Dorothy Schrader, “The Arithmetic of the Medieval Universities,” accessed March 19, 2022, </w:t>
      </w:r>
      <w:hyperlink r:id="rId3">
        <w:r>
          <w:rPr>
            <w:color w:val="1155CC"/>
            <w:sz w:val="20"/>
            <w:szCs w:val="20"/>
            <w:u w:val="single"/>
          </w:rPr>
          <w:t>https://www.jstor.org/stable/27957550</w:t>
        </w:r>
      </w:hyperlink>
      <w:r>
        <w:rPr>
          <w:sz w:val="20"/>
          <w:szCs w:val="20"/>
        </w:rPr>
        <w:t>, pp. 264-278.</w:t>
      </w:r>
    </w:p>
  </w:footnote>
  <w:footnote w:id="4">
    <w:p w14:paraId="00000038" w14:textId="77777777" w:rsidR="007A4942" w:rsidRPr="00595554" w:rsidRDefault="0011685B">
      <w:pPr>
        <w:spacing w:line="240" w:lineRule="auto"/>
        <w:rPr>
          <w:sz w:val="20"/>
          <w:szCs w:val="20"/>
          <w:lang w:val="fr-FR"/>
        </w:rPr>
      </w:pPr>
      <w:r>
        <w:rPr>
          <w:vertAlign w:val="superscript"/>
        </w:rPr>
        <w:footnoteRef/>
      </w:r>
      <w:r w:rsidRPr="00595554">
        <w:rPr>
          <w:sz w:val="20"/>
          <w:szCs w:val="20"/>
          <w:lang w:val="fr-FR"/>
        </w:rPr>
        <w:t xml:space="preserve"> </w:t>
      </w:r>
      <w:r w:rsidRPr="00595554">
        <w:rPr>
          <w:sz w:val="20"/>
          <w:szCs w:val="20"/>
          <w:lang w:val="fr-FR"/>
        </w:rPr>
        <w:t>“Metropolis Lecture 2.1: Angkor,” LumiNUS, accessed March 19, 2022, https://luminus.nus.edu.sg/modules/38173da0-05fc-40ba-954b-d20389933a9c/multimedia/channels/ac934109-72bc-42a3-90ca</w:t>
      </w:r>
      <w:r w:rsidRPr="00595554">
        <w:rPr>
          <w:sz w:val="20"/>
          <w:szCs w:val="20"/>
          <w:lang w:val="fr-FR"/>
        </w:rPr>
        <w:t>-b803c8ce6c6b/media/view/f3cbef7c-ed8e-49ce-8178-f8771c98dfc2.</w:t>
      </w:r>
    </w:p>
  </w:footnote>
  <w:footnote w:id="5">
    <w:p w14:paraId="00000039" w14:textId="77777777" w:rsidR="007A4942" w:rsidRDefault="0011685B">
      <w:pPr>
        <w:spacing w:line="240" w:lineRule="auto"/>
        <w:rPr>
          <w:sz w:val="20"/>
          <w:szCs w:val="20"/>
        </w:rPr>
      </w:pPr>
      <w:r>
        <w:rPr>
          <w:vertAlign w:val="superscript"/>
        </w:rPr>
        <w:footnoteRef/>
      </w:r>
      <w:r>
        <w:rPr>
          <w:sz w:val="20"/>
          <w:szCs w:val="20"/>
        </w:rPr>
        <w:t xml:space="preserve"> Axel </w:t>
      </w:r>
      <w:proofErr w:type="spellStart"/>
      <w:r>
        <w:rPr>
          <w:sz w:val="20"/>
          <w:szCs w:val="20"/>
        </w:rPr>
        <w:t>Timpe</w:t>
      </w:r>
      <w:proofErr w:type="spellEnd"/>
      <w:r>
        <w:rPr>
          <w:sz w:val="20"/>
          <w:szCs w:val="20"/>
        </w:rPr>
        <w:t xml:space="preserve"> et al., “Theodosian Walls &amp; Urban Agriculture,” accessed March 19, 2022, </w:t>
      </w:r>
      <w:hyperlink r:id="rId4">
        <w:r>
          <w:rPr>
            <w:color w:val="1155CC"/>
            <w:sz w:val="20"/>
            <w:szCs w:val="20"/>
            <w:u w:val="single"/>
          </w:rPr>
          <w:t>https://www.researchgat</w:t>
        </w:r>
        <w:r>
          <w:rPr>
            <w:color w:val="1155CC"/>
            <w:sz w:val="20"/>
            <w:szCs w:val="20"/>
            <w:u w:val="single"/>
          </w:rPr>
          <w:t>e.net/profile/Axel-Timpe/publication/324280795_The_Theodosian_Walls_of_Istanbul_cultural_heritage_and_urban_potential_for_a_metropolis_of_the_21st_century/links/5aca0a4faca272abdc6188e0/The-Theodosian-Walls-of-Istanbul-cultural-heritage-and-urban-potential</w:t>
        </w:r>
        <w:r>
          <w:rPr>
            <w:color w:val="1155CC"/>
            <w:sz w:val="20"/>
            <w:szCs w:val="20"/>
            <w:u w:val="single"/>
          </w:rPr>
          <w:t>-for-a-metropolis-of-the-21st-century.pdf</w:t>
        </w:r>
      </w:hyperlink>
      <w:r>
        <w:rPr>
          <w:sz w:val="20"/>
          <w:szCs w:val="20"/>
        </w:rPr>
        <w:t>, pp. 6-7.</w:t>
      </w:r>
    </w:p>
  </w:footnote>
  <w:footnote w:id="6">
    <w:p w14:paraId="00000052" w14:textId="77777777" w:rsidR="007A4942" w:rsidRDefault="0011685B">
      <w:pPr>
        <w:spacing w:line="240" w:lineRule="auto"/>
        <w:rPr>
          <w:sz w:val="20"/>
          <w:szCs w:val="20"/>
        </w:rPr>
      </w:pPr>
      <w:r>
        <w:rPr>
          <w:vertAlign w:val="superscript"/>
        </w:rPr>
        <w:footnoteRef/>
      </w:r>
      <w:r>
        <w:rPr>
          <w:sz w:val="20"/>
          <w:szCs w:val="20"/>
        </w:rPr>
        <w:t xml:space="preserve"> Chou Ta </w:t>
      </w:r>
      <w:proofErr w:type="spellStart"/>
      <w:r>
        <w:rPr>
          <w:sz w:val="20"/>
          <w:szCs w:val="20"/>
        </w:rPr>
        <w:t>Kuan</w:t>
      </w:r>
      <w:proofErr w:type="spellEnd"/>
      <w:r>
        <w:rPr>
          <w:sz w:val="20"/>
          <w:szCs w:val="20"/>
        </w:rPr>
        <w:t xml:space="preserve">, “The Walled City,” in </w:t>
      </w:r>
      <w:r>
        <w:rPr>
          <w:i/>
          <w:sz w:val="20"/>
          <w:szCs w:val="20"/>
        </w:rPr>
        <w:t>The Walled City</w:t>
      </w:r>
      <w:r>
        <w:rPr>
          <w:sz w:val="20"/>
          <w:szCs w:val="20"/>
        </w:rPr>
        <w:t>, n.d., pp. 2-3.</w:t>
      </w:r>
    </w:p>
  </w:footnote>
  <w:footnote w:id="7">
    <w:p w14:paraId="0000004B" w14:textId="77777777" w:rsidR="007A4942" w:rsidRDefault="0011685B">
      <w:pPr>
        <w:spacing w:line="240" w:lineRule="auto"/>
        <w:rPr>
          <w:sz w:val="20"/>
          <w:szCs w:val="20"/>
        </w:rPr>
      </w:pPr>
      <w:r>
        <w:rPr>
          <w:vertAlign w:val="superscript"/>
        </w:rPr>
        <w:footnoteRef/>
      </w:r>
      <w:r>
        <w:rPr>
          <w:sz w:val="20"/>
          <w:szCs w:val="20"/>
        </w:rPr>
        <w:t xml:space="preserve"> Darius Ary</w:t>
      </w:r>
      <w:r>
        <w:rPr>
          <w:sz w:val="20"/>
          <w:szCs w:val="20"/>
        </w:rPr>
        <w:t>a, “Ancient Invisible Cities, Episode 3: Istanbul,” YouTube (PBS, October 25, 2018), https://www.youtube.com/watch?v=lsTTjP0fSYQ.</w:t>
      </w:r>
    </w:p>
  </w:footnote>
  <w:footnote w:id="8">
    <w:p w14:paraId="0000003D" w14:textId="77777777" w:rsidR="007A4942" w:rsidRDefault="0011685B">
      <w:pPr>
        <w:spacing w:line="240" w:lineRule="auto"/>
        <w:rPr>
          <w:sz w:val="20"/>
          <w:szCs w:val="20"/>
        </w:rPr>
      </w:pPr>
      <w:r>
        <w:rPr>
          <w:vertAlign w:val="superscript"/>
        </w:rPr>
        <w:footnoteRef/>
      </w:r>
      <w:r>
        <w:rPr>
          <w:sz w:val="20"/>
          <w:szCs w:val="20"/>
        </w:rPr>
        <w:t xml:space="preserve"> Michael </w:t>
      </w:r>
      <w:proofErr w:type="spellStart"/>
      <w:r>
        <w:rPr>
          <w:sz w:val="20"/>
          <w:szCs w:val="20"/>
        </w:rPr>
        <w:t>Angold</w:t>
      </w:r>
      <w:proofErr w:type="spellEnd"/>
      <w:r>
        <w:rPr>
          <w:sz w:val="20"/>
          <w:szCs w:val="20"/>
        </w:rPr>
        <w:t xml:space="preserve">, “Turning Points in History: The Fall of Constantinople,” accessed March 19, 2022, </w:t>
      </w:r>
      <w:hyperlink r:id="rId5">
        <w:r>
          <w:rPr>
            <w:color w:val="1155CC"/>
            <w:sz w:val="20"/>
            <w:szCs w:val="20"/>
            <w:u w:val="single"/>
          </w:rPr>
          <w:t>https://www.researchgate.net/publi</w:t>
        </w:r>
        <w:r>
          <w:rPr>
            <w:color w:val="1155CC"/>
            <w:sz w:val="20"/>
            <w:szCs w:val="20"/>
            <w:u w:val="single"/>
          </w:rPr>
          <w:t>cation/296354931_Turning_points_in_history_The_fall_of_constantinople</w:t>
        </w:r>
      </w:hyperlink>
      <w:r>
        <w:rPr>
          <w:sz w:val="20"/>
          <w:szCs w:val="20"/>
        </w:rPr>
        <w:t>, pp. 11-13.</w:t>
      </w:r>
    </w:p>
  </w:footnote>
  <w:footnote w:id="9">
    <w:p w14:paraId="00000041" w14:textId="77777777" w:rsidR="007A4942" w:rsidRDefault="0011685B">
      <w:pPr>
        <w:spacing w:line="240" w:lineRule="auto"/>
        <w:rPr>
          <w:sz w:val="20"/>
          <w:szCs w:val="20"/>
        </w:rPr>
      </w:pPr>
      <w:r>
        <w:rPr>
          <w:vertAlign w:val="superscript"/>
        </w:rPr>
        <w:footnoteRef/>
      </w:r>
      <w:r>
        <w:rPr>
          <w:sz w:val="20"/>
          <w:szCs w:val="20"/>
        </w:rPr>
        <w:t xml:space="preserve"> Michael Goodyear, “Heaven or Earth: The Hagia Sophia Re-Conversion, Turkish and International Law, and Universal Religious Sites,” SSRN, October 14, 2020, </w:t>
      </w:r>
      <w:hyperlink r:id="rId6">
        <w:r>
          <w:rPr>
            <w:color w:val="1155CC"/>
            <w:sz w:val="20"/>
            <w:szCs w:val="20"/>
            <w:u w:val="single"/>
          </w:rPr>
          <w:t>ht</w:t>
        </w:r>
        <w:r>
          <w:rPr>
            <w:color w:val="1155CC"/>
            <w:sz w:val="20"/>
            <w:szCs w:val="20"/>
            <w:u w:val="single"/>
          </w:rPr>
          <w:t>tps://papers.ssrn.com/sol3/papers.cfm?abstract_id=3680139</w:t>
        </w:r>
      </w:hyperlink>
      <w:r>
        <w:rPr>
          <w:sz w:val="20"/>
          <w:szCs w:val="20"/>
        </w:rPr>
        <w:t>, pp. 52-53.</w:t>
      </w:r>
    </w:p>
  </w:footnote>
  <w:footnote w:id="10">
    <w:p w14:paraId="0000003E" w14:textId="77777777" w:rsidR="007A4942" w:rsidRDefault="0011685B">
      <w:pPr>
        <w:spacing w:line="240" w:lineRule="auto"/>
        <w:rPr>
          <w:sz w:val="20"/>
          <w:szCs w:val="20"/>
        </w:rPr>
      </w:pPr>
      <w:r>
        <w:rPr>
          <w:vertAlign w:val="superscript"/>
        </w:rPr>
        <w:footnoteRef/>
      </w:r>
      <w:r>
        <w:rPr>
          <w:sz w:val="20"/>
          <w:szCs w:val="20"/>
        </w:rPr>
        <w:t xml:space="preserve"> Katherine Elizabeth Fleming, “Constantinople: From Christianity to Islam,” accessed March 19, 2022, </w:t>
      </w:r>
      <w:hyperlink r:id="rId7">
        <w:r>
          <w:rPr>
            <w:color w:val="1155CC"/>
            <w:sz w:val="20"/>
            <w:szCs w:val="20"/>
            <w:u w:val="single"/>
          </w:rPr>
          <w:t>https://www.jsto</w:t>
        </w:r>
        <w:r>
          <w:rPr>
            <w:color w:val="1155CC"/>
            <w:sz w:val="20"/>
            <w:szCs w:val="20"/>
            <w:u w:val="single"/>
          </w:rPr>
          <w:t>r.org/stable/4352826</w:t>
        </w:r>
      </w:hyperlink>
      <w:r>
        <w:rPr>
          <w:sz w:val="20"/>
          <w:szCs w:val="20"/>
        </w:rPr>
        <w:t>, pp. 69-78.</w:t>
      </w:r>
    </w:p>
  </w:footnote>
  <w:footnote w:id="11">
    <w:p w14:paraId="0000003F" w14:textId="77777777" w:rsidR="007A4942" w:rsidRDefault="0011685B">
      <w:pPr>
        <w:spacing w:line="240" w:lineRule="auto"/>
        <w:rPr>
          <w:sz w:val="20"/>
          <w:szCs w:val="20"/>
        </w:rPr>
      </w:pPr>
      <w:r>
        <w:rPr>
          <w:vertAlign w:val="superscript"/>
        </w:rPr>
        <w:footnoteRef/>
      </w:r>
      <w:r>
        <w:rPr>
          <w:sz w:val="20"/>
          <w:szCs w:val="20"/>
        </w:rPr>
        <w:t xml:space="preserve"> Hans Penner, “Rationality and Religion: Problems in the Comparison of Modes of Thought,” accessed March 20, 2022, </w:t>
      </w:r>
      <w:hyperlink r:id="rId8">
        <w:r>
          <w:rPr>
            <w:color w:val="1155CC"/>
            <w:sz w:val="20"/>
            <w:szCs w:val="20"/>
            <w:u w:val="single"/>
          </w:rPr>
          <w:t>https://www.jstor.org/stable/1463921</w:t>
        </w:r>
      </w:hyperlink>
      <w:r>
        <w:rPr>
          <w:sz w:val="20"/>
          <w:szCs w:val="20"/>
        </w:rPr>
        <w:t>, pp. 645-671.</w:t>
      </w:r>
    </w:p>
  </w:footnote>
  <w:footnote w:id="12">
    <w:p w14:paraId="0000004D" w14:textId="77777777" w:rsidR="007A4942" w:rsidRDefault="0011685B">
      <w:pPr>
        <w:spacing w:line="240" w:lineRule="auto"/>
        <w:rPr>
          <w:sz w:val="20"/>
          <w:szCs w:val="20"/>
        </w:rPr>
      </w:pPr>
      <w:r>
        <w:rPr>
          <w:vertAlign w:val="superscript"/>
        </w:rPr>
        <w:footnoteRef/>
      </w:r>
      <w:r>
        <w:rPr>
          <w:sz w:val="20"/>
          <w:szCs w:val="20"/>
        </w:rPr>
        <w:t xml:space="preserve"> </w:t>
      </w:r>
      <w:proofErr w:type="spellStart"/>
      <w:r>
        <w:rPr>
          <w:sz w:val="20"/>
          <w:szCs w:val="20"/>
        </w:rPr>
        <w:t>Halil</w:t>
      </w:r>
      <w:proofErr w:type="spellEnd"/>
      <w:r>
        <w:rPr>
          <w:sz w:val="20"/>
          <w:szCs w:val="20"/>
        </w:rPr>
        <w:t xml:space="preserve"> </w:t>
      </w:r>
      <w:proofErr w:type="spellStart"/>
      <w:r>
        <w:rPr>
          <w:sz w:val="20"/>
          <w:szCs w:val="20"/>
        </w:rPr>
        <w:t>Inalcik</w:t>
      </w:r>
      <w:proofErr w:type="spellEnd"/>
      <w:r>
        <w:rPr>
          <w:sz w:val="20"/>
          <w:szCs w:val="20"/>
        </w:rPr>
        <w:t xml:space="preserve">, “Istanbul: An Islamic City,” accessed March 20, 2022, </w:t>
      </w:r>
      <w:hyperlink r:id="rId9">
        <w:r>
          <w:rPr>
            <w:color w:val="1155CC"/>
            <w:sz w:val="20"/>
            <w:szCs w:val="20"/>
            <w:u w:val="single"/>
          </w:rPr>
          <w:t>https://www.jstor.org/stable/26195665</w:t>
        </w:r>
      </w:hyperlink>
      <w:r>
        <w:rPr>
          <w:sz w:val="20"/>
          <w:szCs w:val="20"/>
        </w:rPr>
        <w:t>, pp. 1-23.</w:t>
      </w:r>
    </w:p>
  </w:footnote>
  <w:footnote w:id="13">
    <w:p w14:paraId="00000040" w14:textId="77777777" w:rsidR="007A4942" w:rsidRDefault="0011685B">
      <w:pPr>
        <w:spacing w:line="240" w:lineRule="auto"/>
        <w:rPr>
          <w:sz w:val="20"/>
          <w:szCs w:val="20"/>
        </w:rPr>
      </w:pPr>
      <w:r>
        <w:rPr>
          <w:vertAlign w:val="superscript"/>
        </w:rPr>
        <w:footnoteRef/>
      </w:r>
      <w:r>
        <w:rPr>
          <w:sz w:val="20"/>
          <w:szCs w:val="20"/>
        </w:rPr>
        <w:t xml:space="preserve"> “Is Your Business Disaster Proof?” (The United Nations Office for Disaster Risk Reduction), accessed March 20, 2022, </w:t>
      </w:r>
      <w:hyperlink r:id="rId10">
        <w:r>
          <w:rPr>
            <w:color w:val="1155CC"/>
            <w:sz w:val="20"/>
            <w:szCs w:val="20"/>
            <w:u w:val="single"/>
          </w:rPr>
          <w:t>https://www.preventionweb.net/files/30674_privatesector</w:t>
        </w:r>
        <w:r>
          <w:rPr>
            <w:color w:val="1155CC"/>
            <w:sz w:val="20"/>
            <w:szCs w:val="20"/>
            <w:u w:val="single"/>
          </w:rPr>
          <w:t>ghd.pdf</w:t>
        </w:r>
      </w:hyperlink>
      <w:r>
        <w:rPr>
          <w:sz w:val="20"/>
          <w:szCs w:val="20"/>
        </w:rPr>
        <w:t>, pp. 2-3.</w:t>
      </w:r>
    </w:p>
  </w:footnote>
  <w:footnote w:id="14">
    <w:p w14:paraId="00000043" w14:textId="77777777" w:rsidR="007A4942" w:rsidRDefault="0011685B">
      <w:pPr>
        <w:spacing w:line="240" w:lineRule="auto"/>
        <w:rPr>
          <w:sz w:val="20"/>
          <w:szCs w:val="20"/>
        </w:rPr>
      </w:pPr>
      <w:r>
        <w:rPr>
          <w:vertAlign w:val="superscript"/>
        </w:rPr>
        <w:footnoteRef/>
      </w:r>
      <w:r>
        <w:rPr>
          <w:sz w:val="20"/>
          <w:szCs w:val="20"/>
        </w:rPr>
        <w:t xml:space="preserve"> Mehmet </w:t>
      </w:r>
      <w:proofErr w:type="spellStart"/>
      <w:r>
        <w:rPr>
          <w:sz w:val="20"/>
          <w:szCs w:val="20"/>
        </w:rPr>
        <w:t>Bulut</w:t>
      </w:r>
      <w:proofErr w:type="spellEnd"/>
      <w:r>
        <w:rPr>
          <w:sz w:val="20"/>
          <w:szCs w:val="20"/>
        </w:rPr>
        <w:t xml:space="preserve">, “The Role of the Ottomans and Dutch in the Commercial Integration between the Levant and Atlantic in the Seventeenth Century,” accessed March 20, 2022, </w:t>
      </w:r>
      <w:hyperlink r:id="rId11">
        <w:r>
          <w:rPr>
            <w:color w:val="1155CC"/>
            <w:sz w:val="20"/>
            <w:szCs w:val="20"/>
            <w:u w:val="single"/>
          </w:rPr>
          <w:t>http://www.jstor.org/stable/3632841</w:t>
        </w:r>
      </w:hyperlink>
      <w:r>
        <w:rPr>
          <w:sz w:val="20"/>
          <w:szCs w:val="20"/>
        </w:rPr>
        <w:t>, pp. 197-199.</w:t>
      </w:r>
    </w:p>
  </w:footnote>
  <w:footnote w:id="15">
    <w:p w14:paraId="00000051" w14:textId="77777777" w:rsidR="007A4942" w:rsidRDefault="0011685B">
      <w:pPr>
        <w:spacing w:line="240" w:lineRule="auto"/>
        <w:rPr>
          <w:sz w:val="20"/>
          <w:szCs w:val="20"/>
        </w:rPr>
      </w:pPr>
      <w:r>
        <w:rPr>
          <w:vertAlign w:val="superscript"/>
        </w:rPr>
        <w:footnoteRef/>
      </w:r>
      <w:r>
        <w:rPr>
          <w:sz w:val="20"/>
          <w:szCs w:val="20"/>
        </w:rPr>
        <w:t xml:space="preserve"> Greg Clark, “How Cities Took over the World: A History of Globalisation Spanning 4,000 Years,” The Guardian (Guardian News and Media, December 1, 2016), </w:t>
      </w:r>
      <w:hyperlink r:id="rId12">
        <w:r>
          <w:rPr>
            <w:color w:val="1155CC"/>
            <w:sz w:val="20"/>
            <w:szCs w:val="20"/>
            <w:u w:val="single"/>
          </w:rPr>
          <w:t>https://www.theguardian.com/cities/2016/dec/01/how-cities-took-over-the-world-a-history-of-globalisation-spanning-4000-years</w:t>
        </w:r>
      </w:hyperlink>
      <w:r>
        <w:rPr>
          <w:sz w:val="20"/>
          <w:szCs w:val="20"/>
        </w:rPr>
        <w:t>, pp. 2-3.</w:t>
      </w:r>
    </w:p>
  </w:footnote>
  <w:footnote w:id="16">
    <w:p w14:paraId="00000047" w14:textId="77777777" w:rsidR="007A4942" w:rsidRDefault="0011685B">
      <w:pPr>
        <w:spacing w:line="240" w:lineRule="auto"/>
        <w:rPr>
          <w:sz w:val="20"/>
          <w:szCs w:val="20"/>
        </w:rPr>
      </w:pPr>
      <w:r>
        <w:rPr>
          <w:vertAlign w:val="superscript"/>
        </w:rPr>
        <w:footnoteRef/>
      </w:r>
      <w:r>
        <w:rPr>
          <w:sz w:val="20"/>
          <w:szCs w:val="20"/>
        </w:rPr>
        <w:t xml:space="preserve"> Albert Howe </w:t>
      </w:r>
      <w:proofErr w:type="spellStart"/>
      <w:r>
        <w:rPr>
          <w:sz w:val="20"/>
          <w:szCs w:val="20"/>
        </w:rPr>
        <w:t>Lybyer</w:t>
      </w:r>
      <w:proofErr w:type="spellEnd"/>
      <w:r>
        <w:rPr>
          <w:sz w:val="20"/>
          <w:szCs w:val="20"/>
        </w:rPr>
        <w:t>, “The Ottoman Turks and the Routes of Oriental Trade,” accessed M</w:t>
      </w:r>
      <w:r>
        <w:rPr>
          <w:sz w:val="20"/>
          <w:szCs w:val="20"/>
        </w:rPr>
        <w:t xml:space="preserve">arch 20, 2022, </w:t>
      </w:r>
      <w:hyperlink r:id="rId13">
        <w:r>
          <w:rPr>
            <w:color w:val="1155CC"/>
            <w:sz w:val="20"/>
            <w:szCs w:val="20"/>
            <w:u w:val="single"/>
          </w:rPr>
          <w:t>https://www.jstor.org/stable/551296</w:t>
        </w:r>
      </w:hyperlink>
      <w:r>
        <w:rPr>
          <w:sz w:val="20"/>
          <w:szCs w:val="20"/>
        </w:rPr>
        <w:t>, pp. 577-588.</w:t>
      </w:r>
    </w:p>
  </w:footnote>
  <w:footnote w:id="17">
    <w:p w14:paraId="00000044" w14:textId="77777777" w:rsidR="007A4942" w:rsidRDefault="0011685B">
      <w:pPr>
        <w:spacing w:line="240" w:lineRule="auto"/>
        <w:rPr>
          <w:sz w:val="20"/>
          <w:szCs w:val="20"/>
        </w:rPr>
      </w:pPr>
      <w:r>
        <w:rPr>
          <w:vertAlign w:val="superscript"/>
        </w:rPr>
        <w:footnoteRef/>
      </w:r>
      <w:r>
        <w:rPr>
          <w:sz w:val="20"/>
          <w:szCs w:val="20"/>
        </w:rPr>
        <w:t xml:space="preserve"> Eric R. </w:t>
      </w:r>
      <w:proofErr w:type="spellStart"/>
      <w:r>
        <w:rPr>
          <w:sz w:val="20"/>
          <w:szCs w:val="20"/>
        </w:rPr>
        <w:t>Dursteler</w:t>
      </w:r>
      <w:proofErr w:type="spellEnd"/>
      <w:r>
        <w:rPr>
          <w:sz w:val="20"/>
          <w:szCs w:val="20"/>
        </w:rPr>
        <w:t xml:space="preserve">, “Venetians in Constantinople Nation, Identity, and Coexistence in the Early Modern Mediterranean,” in </w:t>
      </w:r>
      <w:r>
        <w:rPr>
          <w:i/>
          <w:sz w:val="20"/>
          <w:szCs w:val="20"/>
        </w:rPr>
        <w:t>Venetians in Constantinople Nation, Identity, and Coex</w:t>
      </w:r>
      <w:r>
        <w:rPr>
          <w:i/>
          <w:sz w:val="20"/>
          <w:szCs w:val="20"/>
        </w:rPr>
        <w:t>istence in the Early Modern Mediterranean</w:t>
      </w:r>
      <w:r>
        <w:rPr>
          <w:sz w:val="20"/>
          <w:szCs w:val="20"/>
        </w:rPr>
        <w:t xml:space="preserve"> (Baltimore: Johns Hopkins University Press, 2008), pp. 2-7.</w:t>
      </w:r>
    </w:p>
  </w:footnote>
  <w:footnote w:id="18">
    <w:p w14:paraId="00000042" w14:textId="77777777" w:rsidR="007A4942" w:rsidRDefault="0011685B">
      <w:pPr>
        <w:spacing w:line="240" w:lineRule="auto"/>
        <w:rPr>
          <w:sz w:val="20"/>
          <w:szCs w:val="20"/>
        </w:rPr>
      </w:pPr>
      <w:r>
        <w:rPr>
          <w:vertAlign w:val="superscript"/>
        </w:rPr>
        <w:footnoteRef/>
      </w:r>
      <w:r>
        <w:rPr>
          <w:sz w:val="20"/>
          <w:szCs w:val="20"/>
        </w:rPr>
        <w:t xml:space="preserve"> “Metropolis Lecture 3.4: London,” </w:t>
      </w:r>
      <w:proofErr w:type="spellStart"/>
      <w:r>
        <w:rPr>
          <w:sz w:val="20"/>
          <w:szCs w:val="20"/>
        </w:rPr>
        <w:t>LumiNUS</w:t>
      </w:r>
      <w:proofErr w:type="spellEnd"/>
      <w:r>
        <w:rPr>
          <w:sz w:val="20"/>
          <w:szCs w:val="20"/>
        </w:rPr>
        <w:t>, accessed March 20, 2022, https://luminus.nus.edu.sg/modules/38173da0-05fc-40ba-954b-d20389933a9c/multimedia/channels/ac934109-72bc-42a3-90ca-</w:t>
      </w:r>
      <w:r>
        <w:rPr>
          <w:sz w:val="20"/>
          <w:szCs w:val="20"/>
        </w:rPr>
        <w:t>b803c8ce6c6b/media/view/d194d1ab-3377-438b-a82d-f89fae253698.</w:t>
      </w:r>
    </w:p>
  </w:footnote>
  <w:footnote w:id="19">
    <w:p w14:paraId="00000045" w14:textId="77777777" w:rsidR="007A4942" w:rsidRDefault="0011685B">
      <w:pPr>
        <w:spacing w:line="240" w:lineRule="auto"/>
        <w:rPr>
          <w:sz w:val="20"/>
          <w:szCs w:val="20"/>
        </w:rPr>
      </w:pPr>
      <w:r>
        <w:rPr>
          <w:vertAlign w:val="superscript"/>
        </w:rPr>
        <w:footnoteRef/>
      </w:r>
      <w:r>
        <w:rPr>
          <w:sz w:val="20"/>
          <w:szCs w:val="20"/>
        </w:rPr>
        <w:t xml:space="preserve"> Sharon Wohl, “The Grand Bazaar in Istanbul: The Emergent Unfolding of a Complex Adaptive System,” accessed March 20, 2022, </w:t>
      </w:r>
      <w:hyperlink r:id="rId14">
        <w:r>
          <w:rPr>
            <w:color w:val="1155CC"/>
            <w:sz w:val="20"/>
            <w:szCs w:val="20"/>
            <w:u w:val="single"/>
          </w:rPr>
          <w:t>https://www.researchgate.net/publication/271336008_The_Grand_Bazaar_in_Istanbul_The_Emergent_Unfolding_of_a_Complex_Adaptive_System</w:t>
        </w:r>
      </w:hyperlink>
      <w:r>
        <w:rPr>
          <w:sz w:val="20"/>
          <w:szCs w:val="20"/>
        </w:rPr>
        <w:t>, p</w:t>
      </w:r>
      <w:r>
        <w:rPr>
          <w:sz w:val="20"/>
          <w:szCs w:val="20"/>
        </w:rPr>
        <w:t>p. 4-5.</w:t>
      </w:r>
    </w:p>
  </w:footnote>
  <w:footnote w:id="20">
    <w:p w14:paraId="00000046" w14:textId="77777777" w:rsidR="007A4942" w:rsidRDefault="0011685B">
      <w:pPr>
        <w:spacing w:line="240" w:lineRule="auto"/>
        <w:rPr>
          <w:sz w:val="20"/>
          <w:szCs w:val="20"/>
        </w:rPr>
      </w:pPr>
      <w:r>
        <w:rPr>
          <w:vertAlign w:val="superscript"/>
        </w:rPr>
        <w:footnoteRef/>
      </w:r>
      <w:r>
        <w:rPr>
          <w:sz w:val="20"/>
          <w:szCs w:val="20"/>
        </w:rPr>
        <w:t xml:space="preserve"> </w:t>
      </w:r>
      <w:proofErr w:type="spellStart"/>
      <w:r>
        <w:rPr>
          <w:sz w:val="20"/>
          <w:szCs w:val="20"/>
        </w:rPr>
        <w:t>Eunjeong</w:t>
      </w:r>
      <w:proofErr w:type="spellEnd"/>
      <w:r>
        <w:rPr>
          <w:sz w:val="20"/>
          <w:szCs w:val="20"/>
        </w:rPr>
        <w:t xml:space="preserve"> Yi, “Guilds, ‘Traditionalism’ and Change,” in </w:t>
      </w:r>
      <w:r>
        <w:rPr>
          <w:i/>
          <w:sz w:val="20"/>
          <w:szCs w:val="20"/>
        </w:rPr>
        <w:t>Guild Dynamics in Seventeenth-Century Istanbul Fluidity and Leverage</w:t>
      </w:r>
      <w:r>
        <w:rPr>
          <w:sz w:val="20"/>
          <w:szCs w:val="20"/>
        </w:rPr>
        <w:t xml:space="preserve"> (Leiden: Brill, 2004), pp. 112-113.</w:t>
      </w:r>
    </w:p>
  </w:footnote>
  <w:footnote w:id="21">
    <w:p w14:paraId="0000004F" w14:textId="77777777" w:rsidR="007A4942" w:rsidRDefault="0011685B">
      <w:pPr>
        <w:spacing w:line="240" w:lineRule="auto"/>
        <w:rPr>
          <w:sz w:val="20"/>
          <w:szCs w:val="20"/>
        </w:rPr>
      </w:pPr>
      <w:r>
        <w:rPr>
          <w:vertAlign w:val="superscript"/>
        </w:rPr>
        <w:footnoteRef/>
      </w:r>
      <w:r>
        <w:rPr>
          <w:sz w:val="20"/>
          <w:szCs w:val="20"/>
        </w:rPr>
        <w:t xml:space="preserve"> </w:t>
      </w:r>
      <w:r>
        <w:rPr>
          <w:sz w:val="20"/>
          <w:szCs w:val="20"/>
        </w:rPr>
        <w:t xml:space="preserve">“Metropolis Lecture 3.2: Amsterdam,” </w:t>
      </w:r>
      <w:proofErr w:type="spellStart"/>
      <w:r>
        <w:rPr>
          <w:sz w:val="20"/>
          <w:szCs w:val="20"/>
        </w:rPr>
        <w:t>LumiNUS</w:t>
      </w:r>
      <w:proofErr w:type="spellEnd"/>
      <w:r>
        <w:rPr>
          <w:sz w:val="20"/>
          <w:szCs w:val="20"/>
        </w:rPr>
        <w:t>, accessed March 20, 2022, https://luminus.nus.edu.sg/modules/38173da0-05fc-40ba-954b-d20389933a9c/multimedia/channels/ac934109-72bc-42a3-90ca-b803c8ce6c6b/media/view/88567bb7-3bf7-451b-9ceb-aefd7687daf7.</w:t>
      </w:r>
    </w:p>
  </w:footnote>
  <w:footnote w:id="22">
    <w:p w14:paraId="00000049" w14:textId="77777777" w:rsidR="007A4942" w:rsidRDefault="0011685B">
      <w:pPr>
        <w:spacing w:line="240" w:lineRule="auto"/>
        <w:rPr>
          <w:sz w:val="20"/>
          <w:szCs w:val="20"/>
        </w:rPr>
      </w:pPr>
      <w:r>
        <w:rPr>
          <w:vertAlign w:val="superscript"/>
        </w:rPr>
        <w:footnoteRef/>
      </w:r>
      <w:r>
        <w:rPr>
          <w:sz w:val="20"/>
          <w:szCs w:val="20"/>
        </w:rPr>
        <w:t xml:space="preserve"> Bernard Lewis, “The Islamic Guilds,” accessed March 20, 2022, </w:t>
      </w:r>
      <w:hyperlink r:id="rId15">
        <w:r>
          <w:rPr>
            <w:color w:val="1155CC"/>
            <w:sz w:val="20"/>
            <w:szCs w:val="20"/>
            <w:u w:val="single"/>
          </w:rPr>
          <w:t>https://www.jstor.org/stable/2590356</w:t>
        </w:r>
      </w:hyperlink>
      <w:r>
        <w:rPr>
          <w:sz w:val="20"/>
          <w:szCs w:val="20"/>
        </w:rPr>
        <w:t>, pp. 20-37.</w:t>
      </w:r>
    </w:p>
  </w:footnote>
  <w:footnote w:id="23">
    <w:p w14:paraId="00000048" w14:textId="77777777" w:rsidR="007A4942" w:rsidRDefault="0011685B">
      <w:pPr>
        <w:spacing w:line="240" w:lineRule="auto"/>
        <w:rPr>
          <w:sz w:val="20"/>
          <w:szCs w:val="20"/>
        </w:rPr>
      </w:pPr>
      <w:r>
        <w:rPr>
          <w:vertAlign w:val="superscript"/>
        </w:rPr>
        <w:footnoteRef/>
      </w:r>
      <w:r>
        <w:rPr>
          <w:sz w:val="20"/>
          <w:szCs w:val="20"/>
        </w:rPr>
        <w:t xml:space="preserve"> </w:t>
      </w:r>
      <w:proofErr w:type="spellStart"/>
      <w:r>
        <w:rPr>
          <w:sz w:val="20"/>
          <w:szCs w:val="20"/>
        </w:rPr>
        <w:t>Bülent</w:t>
      </w:r>
      <w:proofErr w:type="spellEnd"/>
      <w:r>
        <w:rPr>
          <w:sz w:val="20"/>
          <w:szCs w:val="20"/>
        </w:rPr>
        <w:t xml:space="preserve"> </w:t>
      </w:r>
      <w:proofErr w:type="spellStart"/>
      <w:r>
        <w:rPr>
          <w:sz w:val="20"/>
          <w:szCs w:val="20"/>
        </w:rPr>
        <w:t>Katkak</w:t>
      </w:r>
      <w:proofErr w:type="spellEnd"/>
      <w:r>
        <w:rPr>
          <w:sz w:val="20"/>
          <w:szCs w:val="20"/>
        </w:rPr>
        <w:t xml:space="preserve">, “The Grand Bazaar,” in </w:t>
      </w:r>
      <w:r>
        <w:rPr>
          <w:i/>
          <w:sz w:val="20"/>
          <w:szCs w:val="20"/>
        </w:rPr>
        <w:t>From Past to Present Historical Istanbul Bazaars</w:t>
      </w:r>
      <w:r>
        <w:rPr>
          <w:sz w:val="20"/>
          <w:szCs w:val="20"/>
        </w:rPr>
        <w:t>, 1st ed. (Istanbul, Turkey: Touring and Automobile Association, 2020), pp. 37-38.</w:t>
      </w:r>
    </w:p>
  </w:footnote>
  <w:footnote w:id="24">
    <w:p w14:paraId="0000004A" w14:textId="77777777" w:rsidR="007A4942" w:rsidRDefault="0011685B">
      <w:pPr>
        <w:spacing w:line="240" w:lineRule="auto"/>
        <w:rPr>
          <w:sz w:val="20"/>
          <w:szCs w:val="20"/>
        </w:rPr>
      </w:pPr>
      <w:r>
        <w:rPr>
          <w:vertAlign w:val="superscript"/>
        </w:rPr>
        <w:footnoteRef/>
      </w:r>
      <w:r>
        <w:rPr>
          <w:sz w:val="20"/>
          <w:szCs w:val="20"/>
        </w:rPr>
        <w:t xml:space="preserve"> “M</w:t>
      </w:r>
      <w:r>
        <w:rPr>
          <w:sz w:val="20"/>
          <w:szCs w:val="20"/>
        </w:rPr>
        <w:t xml:space="preserve">etropolis Lecture 3.1: Melaka,” </w:t>
      </w:r>
      <w:proofErr w:type="spellStart"/>
      <w:r>
        <w:rPr>
          <w:sz w:val="20"/>
          <w:szCs w:val="20"/>
        </w:rPr>
        <w:t>LumiNUS</w:t>
      </w:r>
      <w:proofErr w:type="spellEnd"/>
      <w:r>
        <w:rPr>
          <w:sz w:val="20"/>
          <w:szCs w:val="20"/>
        </w:rPr>
        <w:t>, accessed March 20, 2022, https://luminus.nus.edu.sg/modules/38173da0-05fc-40ba-954b-d20389933a9c/multimedia/channels/ac934109-72bc-42a3-90ca-b803c8ce6c6b/media/view/85069e8d-128a-412e-9d63-c36347cb57bb.</w:t>
      </w:r>
    </w:p>
  </w:footnote>
  <w:footnote w:id="25">
    <w:p w14:paraId="0000004C" w14:textId="77777777" w:rsidR="007A4942" w:rsidRDefault="0011685B">
      <w:pPr>
        <w:spacing w:line="240" w:lineRule="auto"/>
        <w:rPr>
          <w:sz w:val="20"/>
          <w:szCs w:val="20"/>
        </w:rPr>
      </w:pPr>
      <w:r>
        <w:rPr>
          <w:vertAlign w:val="superscript"/>
        </w:rPr>
        <w:footnoteRef/>
      </w:r>
      <w:r>
        <w:rPr>
          <w:sz w:val="20"/>
          <w:szCs w:val="20"/>
        </w:rPr>
        <w:t xml:space="preserve"> Mohamed Sharif Bashir, “Islamic Ethics in Business and Trade,” accessed March 20, 2022, </w:t>
      </w:r>
      <w:hyperlink r:id="rId16">
        <w:r>
          <w:rPr>
            <w:color w:val="1155CC"/>
            <w:sz w:val="20"/>
            <w:szCs w:val="20"/>
            <w:u w:val="single"/>
          </w:rPr>
          <w:t>https://www.researchgate.net/publication/310258020_Islamic_Ethics_in_Business_and_Trade</w:t>
        </w:r>
      </w:hyperlink>
      <w:r>
        <w:rPr>
          <w:sz w:val="20"/>
          <w:szCs w:val="20"/>
        </w:rPr>
        <w:t>, pp. 1-3.</w:t>
      </w:r>
    </w:p>
  </w:footnote>
  <w:footnote w:id="26">
    <w:p w14:paraId="0000004E" w14:textId="77777777" w:rsidR="007A4942" w:rsidRDefault="0011685B">
      <w:pPr>
        <w:spacing w:line="240" w:lineRule="auto"/>
        <w:rPr>
          <w:sz w:val="20"/>
          <w:szCs w:val="20"/>
        </w:rPr>
      </w:pPr>
      <w:r>
        <w:rPr>
          <w:vertAlign w:val="superscript"/>
        </w:rPr>
        <w:footnoteRef/>
      </w:r>
      <w:r>
        <w:rPr>
          <w:sz w:val="20"/>
          <w:szCs w:val="20"/>
        </w:rPr>
        <w:t xml:space="preserve"> Sharon Wohl, “The Grand Bazaar in Istanbul: The Emergent Unfolding of a Complex Adaptive System,” accessed March 20, 2022, </w:t>
      </w:r>
      <w:hyperlink r:id="rId17">
        <w:r>
          <w:rPr>
            <w:color w:val="1155CC"/>
            <w:sz w:val="20"/>
            <w:szCs w:val="20"/>
            <w:u w:val="single"/>
          </w:rPr>
          <w:t>https://www.researchgate.net/publication/271336008_The_Grand_Bazaar_in_Istanbul_The_Emergent_Unfolding_of_a_Complex_Adaptive_System</w:t>
        </w:r>
      </w:hyperlink>
      <w:r>
        <w:rPr>
          <w:sz w:val="20"/>
          <w:szCs w:val="20"/>
        </w:rPr>
        <w:t>, pp. 24-25.</w:t>
      </w:r>
    </w:p>
  </w:footnote>
  <w:footnote w:id="27">
    <w:p w14:paraId="00000050" w14:textId="77777777" w:rsidR="007A4942" w:rsidRDefault="0011685B">
      <w:pPr>
        <w:spacing w:line="240" w:lineRule="auto"/>
        <w:rPr>
          <w:sz w:val="20"/>
          <w:szCs w:val="20"/>
        </w:rPr>
      </w:pPr>
      <w:r>
        <w:rPr>
          <w:vertAlign w:val="superscript"/>
        </w:rPr>
        <w:footnoteRef/>
      </w:r>
      <w:r>
        <w:rPr>
          <w:sz w:val="20"/>
          <w:szCs w:val="20"/>
        </w:rPr>
        <w:t xml:space="preserve"> Peter</w:t>
      </w:r>
      <w:r>
        <w:rPr>
          <w:sz w:val="20"/>
          <w:szCs w:val="20"/>
        </w:rPr>
        <w:t xml:space="preserve"> Geoffrey Hall, “The Imperial Capital,” in </w:t>
      </w:r>
      <w:r>
        <w:rPr>
          <w:i/>
          <w:sz w:val="20"/>
          <w:szCs w:val="20"/>
        </w:rPr>
        <w:t>Cities in Civilization</w:t>
      </w:r>
      <w:r>
        <w:rPr>
          <w:sz w:val="20"/>
          <w:szCs w:val="20"/>
        </w:rPr>
        <w:t xml:space="preserve"> (New York: Fromm International, 2001), pp. 646-648.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942"/>
    <w:rsid w:val="0011685B"/>
    <w:rsid w:val="00595554"/>
    <w:rsid w:val="007A4942"/>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55F4"/>
  <w15:docId w15:val="{74595CAC-6AF4-FE41-8654-59858D86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10258020_Islamic_Ethics_in_Business_and_Trade" TargetMode="External"/><Relationship Id="rId13" Type="http://schemas.openxmlformats.org/officeDocument/2006/relationships/hyperlink" Target="https://papers.ssrn.com/sol3/papers.cfm?abstract_id=3680139" TargetMode="External"/><Relationship Id="rId18" Type="http://schemas.openxmlformats.org/officeDocument/2006/relationships/hyperlink" Target="https://luminus.nus.edu.sg/modules/38173da0-05fc-40ba-954b-d20389933a9c/multimedia/channels/ac934109-72bc-42a3-90ca-b803c8ce6c6b/media/view/85069e8d-128a-412e-9d63-c36347cb57bb" TargetMode="External"/><Relationship Id="rId26" Type="http://schemas.openxmlformats.org/officeDocument/2006/relationships/hyperlink" Target="https://www.researchgate.net/publication/271336008_The_Grand_Bazaar_in_Istanbul_The_Emergent_Unfolding_of_a_Complex_Adaptive_System" TargetMode="External"/><Relationship Id="rId3" Type="http://schemas.openxmlformats.org/officeDocument/2006/relationships/webSettings" Target="webSettings.xml"/><Relationship Id="rId21" Type="http://schemas.openxmlformats.org/officeDocument/2006/relationships/hyperlink" Target="https://www.jstor.org/stable/1463921" TargetMode="External"/><Relationship Id="rId7" Type="http://schemas.openxmlformats.org/officeDocument/2006/relationships/hyperlink" Target="https://www.youtube.com/watch?v=lsTTjP0fSYQ" TargetMode="External"/><Relationship Id="rId12" Type="http://schemas.openxmlformats.org/officeDocument/2006/relationships/hyperlink" Target="https://www.jstor.org/stable/4352826" TargetMode="External"/><Relationship Id="rId17" Type="http://schemas.openxmlformats.org/officeDocument/2006/relationships/hyperlink" Target="https://luminus.nus.edu.sg/modules/38173da0-05fc-40ba-954b-d20389933a9c/multimedia/channels/ac934109-72bc-42a3-90ca-b803c8ce6c6b/media/view/f3cbef7c-ed8e-49ce-8178-f8771c98dfc2" TargetMode="External"/><Relationship Id="rId25" Type="http://schemas.openxmlformats.org/officeDocument/2006/relationships/hyperlink" Target="https://www.researchgate.net/profile/Axel-Timpe/publication/324280795_The_Theodosian_Walls_of_Istanbul_cultural_heritage_and_urban_potential_for_a_metropolis_of_the_21st_century/links/5aca0a4faca272abdc6188e0/The-Theodosian-Walls-of-Istanbul-cultural-heritage-and-urban-potential-for-a-metropolis-of-the-21st-century.pdf" TargetMode="External"/><Relationship Id="rId2" Type="http://schemas.openxmlformats.org/officeDocument/2006/relationships/settings" Target="settings.xml"/><Relationship Id="rId16" Type="http://schemas.openxmlformats.org/officeDocument/2006/relationships/hyperlink" Target="https://www.jstor.org/stable/551296" TargetMode="External"/><Relationship Id="rId20" Type="http://schemas.openxmlformats.org/officeDocument/2006/relationships/hyperlink" Target="https://luminus.nus.edu.sg/modules/38173da0-05fc-40ba-954b-d20389933a9c/multimedia/channels/ac934109-72bc-42a3-90ca-b803c8ce6c6b/media/view/d194d1ab-3377-438b-a82d-f89fae253698" TargetMode="External"/><Relationship Id="rId1" Type="http://schemas.openxmlformats.org/officeDocument/2006/relationships/styles" Target="styles.xml"/><Relationship Id="rId6" Type="http://schemas.openxmlformats.org/officeDocument/2006/relationships/hyperlink" Target="https://www.researchgate.net/publication/296354931_Turning_points_in_history_The_fall_of_constantinople" TargetMode="External"/><Relationship Id="rId11" Type="http://schemas.openxmlformats.org/officeDocument/2006/relationships/hyperlink" Target="https://www.theguardian.com/cities/2016/dec/01/how-cities-took-over-the-world-a-history-of-globalisation-spanning-4000-years" TargetMode="External"/><Relationship Id="rId24" Type="http://schemas.openxmlformats.org/officeDocument/2006/relationships/hyperlink" Target="https://www.preventionweb.net/files/30674_privatesectorghd.pdf" TargetMode="External"/><Relationship Id="rId5" Type="http://schemas.openxmlformats.org/officeDocument/2006/relationships/endnotes" Target="endnotes.xml"/><Relationship Id="rId15" Type="http://schemas.openxmlformats.org/officeDocument/2006/relationships/hyperlink" Target="https://www.jstor.org/stable/2590356" TargetMode="External"/><Relationship Id="rId23" Type="http://schemas.openxmlformats.org/officeDocument/2006/relationships/hyperlink" Target="https://www.jstor.org/stable/24721698" TargetMode="External"/><Relationship Id="rId28" Type="http://schemas.openxmlformats.org/officeDocument/2006/relationships/theme" Target="theme/theme1.xml"/><Relationship Id="rId10" Type="http://schemas.openxmlformats.org/officeDocument/2006/relationships/hyperlink" Target="http://www.jstor.org/stable/3632841" TargetMode="External"/><Relationship Id="rId19" Type="http://schemas.openxmlformats.org/officeDocument/2006/relationships/hyperlink" Target="https://luminus.nus.edu.sg/modules/38173da0-05fc-40ba-954b-d20389933a9c/multimedia/channels/ac934109-72bc-42a3-90ca-b803c8ce6c6b/media/view/88567bb7-3bf7-451b-9ceb-aefd7687daf7" TargetMode="External"/><Relationship Id="rId4" Type="http://schemas.openxmlformats.org/officeDocument/2006/relationships/footnotes" Target="footnotes.xml"/><Relationship Id="rId9" Type="http://schemas.openxmlformats.org/officeDocument/2006/relationships/hyperlink" Target="http://www.2iceshs.cyfronet.pl/2ICESHS_Proceedings/Chapter_16/R-8_Borgato.pdf" TargetMode="External"/><Relationship Id="rId14" Type="http://schemas.openxmlformats.org/officeDocument/2006/relationships/hyperlink" Target="https://www.jstor.org/stable/26195665" TargetMode="External"/><Relationship Id="rId22" Type="http://schemas.openxmlformats.org/officeDocument/2006/relationships/hyperlink" Target="https://www.jstor.org/stable/27957550"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jstor.org/stable/1463921" TargetMode="External"/><Relationship Id="rId13" Type="http://schemas.openxmlformats.org/officeDocument/2006/relationships/hyperlink" Target="https://www.jstor.org/stable/551296" TargetMode="External"/><Relationship Id="rId3" Type="http://schemas.openxmlformats.org/officeDocument/2006/relationships/hyperlink" Target="https://www.jstor.org/stable/27957550" TargetMode="External"/><Relationship Id="rId7" Type="http://schemas.openxmlformats.org/officeDocument/2006/relationships/hyperlink" Target="https://www.jstor.org/stable/4352826" TargetMode="External"/><Relationship Id="rId12" Type="http://schemas.openxmlformats.org/officeDocument/2006/relationships/hyperlink" Target="https://www.theguardian.com/cities/2016/dec/01/how-cities-took-over-the-world-a-history-of-globalisation-spanning-4000-years" TargetMode="External"/><Relationship Id="rId17" Type="http://schemas.openxmlformats.org/officeDocument/2006/relationships/hyperlink" Target="https://www.researchgate.net/publication/271336008_The_Grand_Bazaar_in_Istanbul_The_Emergent_Unfolding_of_a_Complex_Adaptive_System" TargetMode="External"/><Relationship Id="rId2" Type="http://schemas.openxmlformats.org/officeDocument/2006/relationships/hyperlink" Target="https://www.jstor.org/stable/24721698" TargetMode="External"/><Relationship Id="rId16" Type="http://schemas.openxmlformats.org/officeDocument/2006/relationships/hyperlink" Target="https://www.researchgate.net/publication/310258020_Islamic_Ethics_in_Business_and_Trade" TargetMode="External"/><Relationship Id="rId1" Type="http://schemas.openxmlformats.org/officeDocument/2006/relationships/hyperlink" Target="http://www.2iceshs.cyfronet.pl/2ICESHS_Proceedings/Chapter_16/R-8_Borgato.pdf" TargetMode="External"/><Relationship Id="rId6" Type="http://schemas.openxmlformats.org/officeDocument/2006/relationships/hyperlink" Target="https://papers.ssrn.com/sol3/papers.cfm?abstract_id=3680139" TargetMode="External"/><Relationship Id="rId11" Type="http://schemas.openxmlformats.org/officeDocument/2006/relationships/hyperlink" Target="http://www.jstor.org/stable/3632841" TargetMode="External"/><Relationship Id="rId5" Type="http://schemas.openxmlformats.org/officeDocument/2006/relationships/hyperlink" Target="https://www.researchgate.net/publication/296354931_Turning_points_in_history_The_fall_of_constantinople" TargetMode="External"/><Relationship Id="rId15" Type="http://schemas.openxmlformats.org/officeDocument/2006/relationships/hyperlink" Target="https://www.jstor.org/stable/2590356" TargetMode="External"/><Relationship Id="rId10" Type="http://schemas.openxmlformats.org/officeDocument/2006/relationships/hyperlink" Target="https://www.preventionweb.net/files/30674_privatesectorghd.pdf" TargetMode="External"/><Relationship Id="rId4" Type="http://schemas.openxmlformats.org/officeDocument/2006/relationships/hyperlink" Target="https://www.researchgate.net/profile/Axel-Timpe/publication/324280795_The_Theodosian_Walls_of_Istanbul_cultural_heritage_and_urban_potential_for_a_metropolis_of_the_21st_century/links/5aca0a4faca272abdc6188e0/The-Theodosian-Walls-of-Istanbul-cultural-heritage-and-urban-potential-for-a-metropolis-of-the-21st-century.pdf" TargetMode="External"/><Relationship Id="rId9" Type="http://schemas.openxmlformats.org/officeDocument/2006/relationships/hyperlink" Target="https://www.jstor.org/stable/26195665" TargetMode="External"/><Relationship Id="rId14" Type="http://schemas.openxmlformats.org/officeDocument/2006/relationships/hyperlink" Target="https://www.researchgate.net/publication/271336008_The_Grand_Bazaar_in_Istanbul_The_Emergent_Unfolding_of_a_Complex_Adaptiv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2516</Words>
  <Characters>14342</Characters>
  <Application>Microsoft Office Word</Application>
  <DocSecurity>0</DocSecurity>
  <Lines>119</Lines>
  <Paragraphs>33</Paragraphs>
  <ScaleCrop>false</ScaleCrop>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Izz Hafeez</cp:lastModifiedBy>
  <cp:revision>2</cp:revision>
  <dcterms:created xsi:type="dcterms:W3CDTF">2022-03-21T05:24:00Z</dcterms:created>
  <dcterms:modified xsi:type="dcterms:W3CDTF">2022-03-21T05:27:00Z</dcterms:modified>
</cp:coreProperties>
</file>