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144A1" w14:textId="77777777" w:rsidR="00D041FC" w:rsidRPr="00D041FC" w:rsidRDefault="00D041FC" w:rsidP="00D041FC">
      <w:pPr>
        <w:rPr>
          <w:b/>
          <w:bCs/>
          <w:sz w:val="36"/>
          <w:szCs w:val="36"/>
        </w:rPr>
      </w:pPr>
      <w:r w:rsidRPr="00D041FC">
        <w:rPr>
          <w:b/>
          <w:bCs/>
          <w:sz w:val="36"/>
          <w:szCs w:val="36"/>
        </w:rPr>
        <w:t>Memgine – Poynt Validation &amp; Remaining Work</w:t>
      </w:r>
    </w:p>
    <w:p w14:paraId="41E297C6" w14:textId="77777777" w:rsidR="00D041FC" w:rsidRPr="00D041FC" w:rsidRDefault="00D041FC" w:rsidP="00D041FC">
      <w:pPr>
        <w:numPr>
          <w:ilvl w:val="0"/>
          <w:numId w:val="1"/>
        </w:numPr>
        <w:rPr>
          <w:sz w:val="36"/>
          <w:szCs w:val="36"/>
        </w:rPr>
      </w:pPr>
      <w:r w:rsidRPr="00D041FC">
        <w:rPr>
          <w:b/>
          <w:bCs/>
          <w:sz w:val="36"/>
          <w:szCs w:val="36"/>
        </w:rPr>
        <w:t>Validate Memgine Poynt Android app on the client terminal.</w:t>
      </w:r>
      <w:r w:rsidRPr="00D041FC">
        <w:rPr>
          <w:sz w:val="36"/>
          <w:szCs w:val="36"/>
        </w:rPr>
        <w:t xml:space="preserve"> Confirm whether the terminal permits installation/testing of our developer APK, that the app launches correctly, and that the Poynt SDK/services are available. Live merchant terminals normally do not allow ordinary sideloading, so we may need a developer terminal/App Center distribution path. </w:t>
      </w:r>
      <w:hyperlink r:id="rId5" w:history="1">
        <w:r w:rsidRPr="00D041FC">
          <w:rPr>
            <w:rStyle w:val="Hyperlink"/>
            <w:sz w:val="36"/>
            <w:szCs w:val="36"/>
          </w:rPr>
          <w:t>Poynt Docs</w:t>
        </w:r>
      </w:hyperlink>
    </w:p>
    <w:p w14:paraId="2CE5651E" w14:textId="77777777" w:rsidR="00D041FC" w:rsidRPr="00D041FC" w:rsidRDefault="00D041FC" w:rsidP="00D041FC">
      <w:pPr>
        <w:numPr>
          <w:ilvl w:val="0"/>
          <w:numId w:val="1"/>
        </w:numPr>
        <w:rPr>
          <w:sz w:val="36"/>
          <w:szCs w:val="36"/>
        </w:rPr>
      </w:pPr>
      <w:r w:rsidRPr="00D041FC">
        <w:rPr>
          <w:b/>
          <w:bCs/>
          <w:sz w:val="36"/>
          <w:szCs w:val="36"/>
        </w:rPr>
        <w:t>Test terminal identification and pairing.</w:t>
      </w:r>
      <w:r w:rsidRPr="00D041FC">
        <w:rPr>
          <w:sz w:val="36"/>
          <w:szCs w:val="36"/>
        </w:rPr>
        <w:t xml:space="preserve"> Pair the terminal with Memgine and record its real Poynt Business ID, Store ID and Device/Terminal ID. Today our app asks for these manually; later we should obtain/verify them from Poynt services instead of relying on typed values.</w:t>
      </w:r>
    </w:p>
    <w:p w14:paraId="7764EFBC" w14:textId="77777777" w:rsidR="00D041FC" w:rsidRPr="00D041FC" w:rsidRDefault="00D041FC" w:rsidP="00D041FC">
      <w:pPr>
        <w:numPr>
          <w:ilvl w:val="0"/>
          <w:numId w:val="1"/>
        </w:numPr>
        <w:rPr>
          <w:sz w:val="36"/>
          <w:szCs w:val="36"/>
        </w:rPr>
      </w:pPr>
      <w:r w:rsidRPr="00D041FC">
        <w:rPr>
          <w:b/>
          <w:bCs/>
          <w:sz w:val="36"/>
          <w:szCs w:val="36"/>
        </w:rPr>
        <w:t>Test Memgine staff login/PIN on the terminal.</w:t>
      </w:r>
      <w:r w:rsidRPr="00D041FC">
        <w:rPr>
          <w:sz w:val="36"/>
          <w:szCs w:val="36"/>
        </w:rPr>
        <w:t xml:space="preserve"> Confirm terminal registration → staff selection → POS PIN unlock → Memgine Counter home works against DEV with the client’s actual terminal.</w:t>
      </w:r>
    </w:p>
    <w:p w14:paraId="764DF635" w14:textId="77777777" w:rsidR="00D041FC" w:rsidRPr="00D041FC" w:rsidRDefault="00D041FC" w:rsidP="00D041FC">
      <w:pPr>
        <w:numPr>
          <w:ilvl w:val="0"/>
          <w:numId w:val="1"/>
        </w:numPr>
        <w:rPr>
          <w:sz w:val="36"/>
          <w:szCs w:val="36"/>
        </w:rPr>
      </w:pPr>
      <w:r w:rsidRPr="00D041FC">
        <w:rPr>
          <w:b/>
          <w:bCs/>
          <w:sz w:val="36"/>
          <w:szCs w:val="36"/>
        </w:rPr>
        <w:t>Test customer lookup and membership visibility on terminal.</w:t>
      </w:r>
      <w:r w:rsidRPr="00D041FC">
        <w:rPr>
          <w:sz w:val="36"/>
          <w:szCs w:val="36"/>
        </w:rPr>
        <w:t xml:space="preserve"> Search an existing DEV customer, confirm subscriptions/plans are returned correctly, and verify the terminal is bound to the correct Memgine organization and store.</w:t>
      </w:r>
    </w:p>
    <w:p w14:paraId="27EB3349" w14:textId="77777777" w:rsidR="00D041FC" w:rsidRPr="00D041FC" w:rsidRDefault="00D041FC" w:rsidP="00D041FC">
      <w:pPr>
        <w:numPr>
          <w:ilvl w:val="0"/>
          <w:numId w:val="1"/>
        </w:numPr>
        <w:rPr>
          <w:sz w:val="36"/>
          <w:szCs w:val="36"/>
        </w:rPr>
      </w:pPr>
      <w:r w:rsidRPr="00D041FC">
        <w:rPr>
          <w:b/>
          <w:bCs/>
          <w:sz w:val="36"/>
          <w:szCs w:val="36"/>
        </w:rPr>
        <w:t>Test Sell Membership flow on the physical terminal.</w:t>
      </w:r>
      <w:r w:rsidRPr="00D041FC">
        <w:rPr>
          <w:sz w:val="36"/>
          <w:szCs w:val="36"/>
        </w:rPr>
        <w:t xml:space="preserve"> Select customer → membership → offer → review calculated price/tax/discount and start payment. </w:t>
      </w:r>
      <w:r w:rsidRPr="00D041FC">
        <w:rPr>
          <w:sz w:val="36"/>
          <w:szCs w:val="36"/>
        </w:rPr>
        <w:lastRenderedPageBreak/>
        <w:t>Confirm the amount presented to Poynt exactly matches the Memgine server-authoritative amount.</w:t>
      </w:r>
    </w:p>
    <w:p w14:paraId="051B3DE2" w14:textId="77777777" w:rsidR="00D041FC" w:rsidRPr="00D041FC" w:rsidRDefault="00D041FC" w:rsidP="00D041FC">
      <w:pPr>
        <w:numPr>
          <w:ilvl w:val="0"/>
          <w:numId w:val="1"/>
        </w:numPr>
        <w:rPr>
          <w:sz w:val="36"/>
          <w:szCs w:val="36"/>
        </w:rPr>
      </w:pPr>
      <w:r w:rsidRPr="00D041FC">
        <w:rPr>
          <w:b/>
          <w:bCs/>
          <w:sz w:val="36"/>
          <w:szCs w:val="36"/>
        </w:rPr>
        <w:t>Test native Poynt card payment.</w:t>
      </w:r>
      <w:r w:rsidRPr="00D041FC">
        <w:rPr>
          <w:sz w:val="36"/>
          <w:szCs w:val="36"/>
        </w:rPr>
        <w:t xml:space="preserve"> Our terminal app launches Poynt’s payment UI using the Poynt SDK rather than handling card data itself, which is the intended model. Perform an approved test transaction and verify Memgine receives the Poynt transaction ID and creates the subscription only after success. </w:t>
      </w:r>
      <w:hyperlink r:id="rId6" w:history="1">
        <w:r w:rsidRPr="00D041FC">
          <w:rPr>
            <w:rStyle w:val="Hyperlink"/>
            <w:sz w:val="36"/>
            <w:szCs w:val="36"/>
          </w:rPr>
          <w:t>Poynt Docs</w:t>
        </w:r>
      </w:hyperlink>
    </w:p>
    <w:p w14:paraId="0121A9B9" w14:textId="77777777" w:rsidR="00D041FC" w:rsidRPr="00D041FC" w:rsidRDefault="00D041FC" w:rsidP="00D041FC">
      <w:pPr>
        <w:numPr>
          <w:ilvl w:val="0"/>
          <w:numId w:val="1"/>
        </w:numPr>
        <w:rPr>
          <w:sz w:val="36"/>
          <w:szCs w:val="36"/>
        </w:rPr>
      </w:pPr>
      <w:r w:rsidRPr="00D041FC">
        <w:rPr>
          <w:b/>
          <w:bCs/>
          <w:sz w:val="36"/>
          <w:szCs w:val="36"/>
        </w:rPr>
        <w:t>Test terminal payment cancellation/failure.</w:t>
      </w:r>
      <w:r w:rsidRPr="00D041FC">
        <w:rPr>
          <w:sz w:val="36"/>
          <w:szCs w:val="36"/>
        </w:rPr>
        <w:t xml:space="preserve"> Cancel one payment and, if practical, perform a declined/failed transaction. Confirm no subscription is created and that Memgine leaves the transaction safely retryable.</w:t>
      </w:r>
    </w:p>
    <w:p w14:paraId="0378CE8A" w14:textId="77777777" w:rsidR="00D041FC" w:rsidRPr="00D041FC" w:rsidRDefault="00D041FC" w:rsidP="00D041FC">
      <w:pPr>
        <w:numPr>
          <w:ilvl w:val="0"/>
          <w:numId w:val="1"/>
        </w:numPr>
        <w:rPr>
          <w:sz w:val="36"/>
          <w:szCs w:val="36"/>
        </w:rPr>
      </w:pPr>
      <w:r w:rsidRPr="00D041FC">
        <w:rPr>
          <w:b/>
          <w:bCs/>
          <w:sz w:val="36"/>
          <w:szCs w:val="36"/>
        </w:rPr>
        <w:t>Test benefit/offer redemption on terminal.</w:t>
      </w:r>
      <w:r w:rsidRPr="00D041FC">
        <w:rPr>
          <w:sz w:val="36"/>
          <w:szCs w:val="36"/>
        </w:rPr>
        <w:t xml:space="preserve"> For a customer with an active membership, select benefits/offers and complete a redemption, including any payment-required redemption flow.</w:t>
      </w:r>
    </w:p>
    <w:p w14:paraId="4C983DAE" w14:textId="77777777" w:rsidR="00D041FC" w:rsidRPr="00D041FC" w:rsidRDefault="00D041FC" w:rsidP="00D041FC">
      <w:pPr>
        <w:numPr>
          <w:ilvl w:val="0"/>
          <w:numId w:val="1"/>
        </w:numPr>
        <w:rPr>
          <w:sz w:val="36"/>
          <w:szCs w:val="36"/>
        </w:rPr>
      </w:pPr>
      <w:r w:rsidRPr="00D041FC">
        <w:rPr>
          <w:b/>
          <w:bCs/>
          <w:sz w:val="36"/>
          <w:szCs w:val="36"/>
        </w:rPr>
        <w:t>Validate the Web Counter → Poynt Payment Bridge path.</w:t>
      </w:r>
      <w:r w:rsidRPr="00D041FC">
        <w:rPr>
          <w:sz w:val="36"/>
          <w:szCs w:val="36"/>
        </w:rPr>
        <w:t xml:space="preserve"> From the Memgine web Counter, initiate a payment to the client terminal and verify the payment appears remotely on that terminal. Payment Bridge requires a Cloud App with Cloud Messages WRITE permission and merchant authorization. </w:t>
      </w:r>
      <w:hyperlink r:id="rId7" w:history="1">
        <w:r w:rsidRPr="00D041FC">
          <w:rPr>
            <w:rStyle w:val="Hyperlink"/>
            <w:sz w:val="36"/>
            <w:szCs w:val="36"/>
          </w:rPr>
          <w:t>Poynt Docs</w:t>
        </w:r>
      </w:hyperlink>
    </w:p>
    <w:p w14:paraId="07830E5E" w14:textId="77777777" w:rsidR="00D041FC" w:rsidRPr="00D041FC" w:rsidRDefault="00D041FC" w:rsidP="00D041FC">
      <w:pPr>
        <w:numPr>
          <w:ilvl w:val="0"/>
          <w:numId w:val="1"/>
        </w:numPr>
        <w:rPr>
          <w:sz w:val="36"/>
          <w:szCs w:val="36"/>
        </w:rPr>
      </w:pPr>
      <w:r w:rsidRPr="00D041FC">
        <w:rPr>
          <w:b/>
          <w:bCs/>
          <w:sz w:val="36"/>
          <w:szCs w:val="36"/>
        </w:rPr>
        <w:t>Validate Payment Bridge callback processing.</w:t>
      </w:r>
      <w:r w:rsidRPr="00D041FC">
        <w:rPr>
          <w:sz w:val="36"/>
          <w:szCs w:val="36"/>
        </w:rPr>
        <w:t xml:space="preserve"> Complete and cancel remote payments and verify Memgine receives/correlates the Poynt callback, records the transaction ID/status, and finalizes membership only on confirmed success.</w:t>
      </w:r>
    </w:p>
    <w:p w14:paraId="49CAF1AE" w14:textId="77777777" w:rsidR="00D041FC" w:rsidRPr="00D041FC" w:rsidRDefault="00D041FC" w:rsidP="00D041FC">
      <w:pPr>
        <w:numPr>
          <w:ilvl w:val="0"/>
          <w:numId w:val="1"/>
        </w:numPr>
        <w:rPr>
          <w:sz w:val="36"/>
          <w:szCs w:val="36"/>
        </w:rPr>
      </w:pPr>
      <w:r w:rsidRPr="00D041FC">
        <w:rPr>
          <w:b/>
          <w:bCs/>
          <w:sz w:val="36"/>
          <w:szCs w:val="36"/>
        </w:rPr>
        <w:lastRenderedPageBreak/>
        <w:t>Confirm terminal cloud connectivity.</w:t>
      </w:r>
      <w:r w:rsidRPr="00D041FC">
        <w:rPr>
          <w:sz w:val="36"/>
          <w:szCs w:val="36"/>
        </w:rPr>
        <w:t xml:space="preserve"> If Payment Bridge messages arrive slowly or inconsistently, record this. Poynt recommends a more aggressive terminal connectivity profile for Payment Bridge deployments; we can implement the documented setCustomPcmProfile step later. </w:t>
      </w:r>
      <w:hyperlink r:id="rId8" w:history="1">
        <w:r w:rsidRPr="00D041FC">
          <w:rPr>
            <w:rStyle w:val="Hyperlink"/>
            <w:sz w:val="36"/>
            <w:szCs w:val="36"/>
          </w:rPr>
          <w:t>Poynt Docs</w:t>
        </w:r>
      </w:hyperlink>
    </w:p>
    <w:p w14:paraId="09A68FA2" w14:textId="77777777" w:rsidR="00D041FC" w:rsidRPr="00D041FC" w:rsidRDefault="00D041FC" w:rsidP="00D041FC">
      <w:pPr>
        <w:numPr>
          <w:ilvl w:val="0"/>
          <w:numId w:val="1"/>
        </w:numPr>
        <w:rPr>
          <w:sz w:val="36"/>
          <w:szCs w:val="36"/>
        </w:rPr>
      </w:pPr>
      <w:r w:rsidRPr="00D041FC">
        <w:rPr>
          <w:b/>
          <w:bCs/>
          <w:sz w:val="36"/>
          <w:szCs w:val="36"/>
        </w:rPr>
        <w:t>Obtain/confirm DEV Poynt Cloud Application credentials.</w:t>
      </w:r>
      <w:r w:rsidRPr="00D041FC">
        <w:rPr>
          <w:sz w:val="36"/>
          <w:szCs w:val="36"/>
        </w:rPr>
        <w:t xml:space="preserve"> We need the Cloud Application ID/appId and its RSA private-key credential for Memgine server authentication. The private key will go into AWS Secrets Manager, not into source code or the mobile apps.</w:t>
      </w:r>
    </w:p>
    <w:p w14:paraId="55E0F126" w14:textId="77777777" w:rsidR="00D041FC" w:rsidRPr="00D041FC" w:rsidRDefault="00D041FC" w:rsidP="00D041FC">
      <w:pPr>
        <w:numPr>
          <w:ilvl w:val="0"/>
          <w:numId w:val="1"/>
        </w:numPr>
        <w:rPr>
          <w:sz w:val="36"/>
          <w:szCs w:val="36"/>
        </w:rPr>
      </w:pPr>
      <w:r w:rsidRPr="00D041FC">
        <w:rPr>
          <w:b/>
          <w:bCs/>
          <w:sz w:val="36"/>
          <w:szCs w:val="36"/>
        </w:rPr>
        <w:t>Confirm DEV/Test Merchant authorization.</w:t>
      </w:r>
      <w:r w:rsidRPr="00D041FC">
        <w:rPr>
          <w:sz w:val="36"/>
          <w:szCs w:val="36"/>
        </w:rPr>
        <w:t xml:space="preserve"> The client/test merchant must authorize our Cloud Application. Without this, catalog, orders, Payment Bridge and authenticated Poynt APIs cannot be properly exercised. </w:t>
      </w:r>
      <w:hyperlink r:id="rId9" w:history="1">
        <w:r w:rsidRPr="00D041FC">
          <w:rPr>
            <w:rStyle w:val="Hyperlink"/>
            <w:sz w:val="36"/>
            <w:szCs w:val="36"/>
          </w:rPr>
          <w:t>Poynt Docs</w:t>
        </w:r>
      </w:hyperlink>
    </w:p>
    <w:p w14:paraId="31901A98" w14:textId="77777777" w:rsidR="00D041FC" w:rsidRPr="00D041FC" w:rsidRDefault="00D041FC" w:rsidP="00D041FC">
      <w:pPr>
        <w:numPr>
          <w:ilvl w:val="0"/>
          <w:numId w:val="1"/>
        </w:numPr>
        <w:rPr>
          <w:sz w:val="36"/>
          <w:szCs w:val="36"/>
        </w:rPr>
      </w:pPr>
      <w:r w:rsidRPr="00D041FC">
        <w:rPr>
          <w:b/>
          <w:bCs/>
          <w:sz w:val="36"/>
          <w:szCs w:val="36"/>
        </w:rPr>
        <w:t>Confirm required Cloud App permissions.</w:t>
      </w:r>
      <w:r w:rsidRPr="00D041FC">
        <w:rPr>
          <w:sz w:val="36"/>
          <w:szCs w:val="36"/>
        </w:rPr>
        <w:t xml:space="preserve"> We specifically need Cloud Messages WRITE for Payment Bridge and the appropriate minimum Product/Catalog and Order permissions for the APIs Memgine already uses. </w:t>
      </w:r>
      <w:hyperlink r:id="rId10" w:history="1">
        <w:r w:rsidRPr="00D041FC">
          <w:rPr>
            <w:rStyle w:val="Hyperlink"/>
            <w:sz w:val="36"/>
            <w:szCs w:val="36"/>
          </w:rPr>
          <w:t>Poynt Docs</w:t>
        </w:r>
      </w:hyperlink>
    </w:p>
    <w:p w14:paraId="00590041" w14:textId="77777777" w:rsidR="00D041FC" w:rsidRPr="00D041FC" w:rsidRDefault="00D041FC" w:rsidP="00D041FC">
      <w:pPr>
        <w:numPr>
          <w:ilvl w:val="0"/>
          <w:numId w:val="1"/>
        </w:numPr>
        <w:rPr>
          <w:sz w:val="36"/>
          <w:szCs w:val="36"/>
        </w:rPr>
      </w:pPr>
      <w:r w:rsidRPr="00D041FC">
        <w:rPr>
          <w:b/>
          <w:bCs/>
          <w:sz w:val="36"/>
          <w:szCs w:val="36"/>
        </w:rPr>
        <w:t>Capture DEV merchant identifiers.</w:t>
      </w:r>
      <w:r w:rsidRPr="00D041FC">
        <w:rPr>
          <w:sz w:val="36"/>
          <w:szCs w:val="36"/>
        </w:rPr>
        <w:t xml:space="preserve"> Obtain the test/sandbox Business ID, Store ID(s), Device ID(s), merchant currency and identify which physical terminal corresponds to each Store ID.</w:t>
      </w:r>
    </w:p>
    <w:p w14:paraId="716B7894" w14:textId="77777777" w:rsidR="00D041FC" w:rsidRPr="00D041FC" w:rsidRDefault="00D041FC" w:rsidP="00D041FC">
      <w:pPr>
        <w:numPr>
          <w:ilvl w:val="0"/>
          <w:numId w:val="1"/>
        </w:numPr>
        <w:rPr>
          <w:sz w:val="36"/>
          <w:szCs w:val="36"/>
        </w:rPr>
      </w:pPr>
      <w:r w:rsidRPr="00D041FC">
        <w:rPr>
          <w:b/>
          <w:bCs/>
          <w:sz w:val="36"/>
          <w:szCs w:val="36"/>
        </w:rPr>
        <w:t>Populate Memgine Poynt commerce configuration.</w:t>
      </w:r>
      <w:r w:rsidRPr="00D041FC">
        <w:rPr>
          <w:sz w:val="36"/>
          <w:szCs w:val="36"/>
        </w:rPr>
        <w:t xml:space="preserve"> Once real values are available, populate </w:t>
      </w:r>
      <w:r w:rsidRPr="00D041FC">
        <w:rPr>
          <w:sz w:val="36"/>
          <w:szCs w:val="36"/>
        </w:rPr>
        <w:lastRenderedPageBreak/>
        <w:t>commerce_provider_catalog_configurations for the existing Poynt integration with application ID, business ID, store ID, secret reference and currency. We should not use placeholder values.</w:t>
      </w:r>
    </w:p>
    <w:p w14:paraId="42FDC419" w14:textId="77777777" w:rsidR="00D041FC" w:rsidRPr="00D041FC" w:rsidRDefault="00D041FC" w:rsidP="00D041FC">
      <w:pPr>
        <w:numPr>
          <w:ilvl w:val="0"/>
          <w:numId w:val="1"/>
        </w:numPr>
        <w:rPr>
          <w:sz w:val="36"/>
          <w:szCs w:val="36"/>
        </w:rPr>
      </w:pPr>
      <w:r w:rsidRPr="00D041FC">
        <w:rPr>
          <w:b/>
          <w:bCs/>
          <w:sz w:val="36"/>
          <w:szCs w:val="36"/>
        </w:rPr>
        <w:t>Test Poynt catalog/product API access.</w:t>
      </w:r>
      <w:r w:rsidRPr="00D041FC">
        <w:rPr>
          <w:sz w:val="36"/>
          <w:szCs w:val="36"/>
        </w:rPr>
        <w:t xml:space="preserve"> Using the real DEV credentials, confirm Memgine can read the client’s Poynt product catalog and map/sync products correctly.</w:t>
      </w:r>
    </w:p>
    <w:p w14:paraId="1C58BE63" w14:textId="77777777" w:rsidR="00D041FC" w:rsidRPr="00D041FC" w:rsidRDefault="00D041FC" w:rsidP="00D041FC">
      <w:pPr>
        <w:numPr>
          <w:ilvl w:val="0"/>
          <w:numId w:val="1"/>
        </w:numPr>
        <w:rPr>
          <w:sz w:val="36"/>
          <w:szCs w:val="36"/>
        </w:rPr>
      </w:pPr>
      <w:r w:rsidRPr="00D041FC">
        <w:rPr>
          <w:b/>
          <w:bCs/>
          <w:sz w:val="36"/>
          <w:szCs w:val="36"/>
        </w:rPr>
        <w:t>Test Poynt order creation.</w:t>
      </w:r>
      <w:r w:rsidRPr="00D041FC">
        <w:rPr>
          <w:sz w:val="36"/>
          <w:szCs w:val="36"/>
        </w:rPr>
        <w:t xml:space="preserve"> Confirm a Memgine checkout can create the expected Poynt Order with correct items, membership line, discount, tax and authoritative total.</w:t>
      </w:r>
    </w:p>
    <w:p w14:paraId="138CA480" w14:textId="77777777" w:rsidR="00D041FC" w:rsidRPr="00D041FC" w:rsidRDefault="00D041FC" w:rsidP="00D041FC">
      <w:pPr>
        <w:numPr>
          <w:ilvl w:val="0"/>
          <w:numId w:val="1"/>
        </w:numPr>
        <w:rPr>
          <w:sz w:val="36"/>
          <w:szCs w:val="36"/>
        </w:rPr>
      </w:pPr>
      <w:r w:rsidRPr="00D041FC">
        <w:rPr>
          <w:b/>
          <w:bCs/>
          <w:sz w:val="36"/>
          <w:szCs w:val="36"/>
        </w:rPr>
        <w:t>Enable and validate Poynt Collect in DEV/OTE.</w:t>
      </w:r>
      <w:r w:rsidRPr="00D041FC">
        <w:rPr>
          <w:sz w:val="36"/>
          <w:szCs w:val="36"/>
        </w:rPr>
        <w:t xml:space="preserve"> For remote online payments we need Poynt Collect enabled for the test merchant/application plus the Business ID/Application ID configuration. Poynt documents separate OTE SDK/service URLs for staging. </w:t>
      </w:r>
      <w:hyperlink r:id="rId11" w:history="1">
        <w:r w:rsidRPr="00D041FC">
          <w:rPr>
            <w:rStyle w:val="Hyperlink"/>
            <w:sz w:val="36"/>
            <w:szCs w:val="36"/>
          </w:rPr>
          <w:t>Poynt Docs</w:t>
        </w:r>
      </w:hyperlink>
    </w:p>
    <w:p w14:paraId="158F6F63" w14:textId="77777777" w:rsidR="00D041FC" w:rsidRPr="00D041FC" w:rsidRDefault="00D041FC" w:rsidP="00D041FC">
      <w:pPr>
        <w:numPr>
          <w:ilvl w:val="0"/>
          <w:numId w:val="1"/>
        </w:numPr>
        <w:rPr>
          <w:sz w:val="36"/>
          <w:szCs w:val="36"/>
        </w:rPr>
      </w:pPr>
      <w:r w:rsidRPr="00D041FC">
        <w:rPr>
          <w:b/>
          <w:bCs/>
          <w:sz w:val="36"/>
          <w:szCs w:val="36"/>
        </w:rPr>
        <w:t>Test existing browser Poynt Collect flow.</w:t>
      </w:r>
      <w:r w:rsidRPr="00D041FC">
        <w:rPr>
          <w:sz w:val="36"/>
          <w:szCs w:val="36"/>
        </w:rPr>
        <w:t xml:space="preserve"> Once credentials are populated, test web checkout → hosted Poynt card fields → nonce → server SALE → payment success → subscription creation. Poynt Collect sends card data directly to Poynt and our server receives the nonce. </w:t>
      </w:r>
      <w:hyperlink r:id="rId12" w:history="1">
        <w:r w:rsidRPr="00D041FC">
          <w:rPr>
            <w:rStyle w:val="Hyperlink"/>
            <w:sz w:val="36"/>
            <w:szCs w:val="36"/>
          </w:rPr>
          <w:t>Poynt Docs</w:t>
        </w:r>
      </w:hyperlink>
    </w:p>
    <w:p w14:paraId="551A0F1B" w14:textId="5E24DC0D" w:rsidR="00D041FC" w:rsidRPr="00D041FC" w:rsidRDefault="00D041FC" w:rsidP="00D041FC">
      <w:pPr>
        <w:ind w:left="720"/>
        <w:rPr>
          <w:sz w:val="36"/>
          <w:szCs w:val="36"/>
        </w:rPr>
      </w:pPr>
    </w:p>
    <w:p w14:paraId="63C26190" w14:textId="77777777" w:rsidR="00D041FC" w:rsidRPr="00D041FC" w:rsidRDefault="00D041FC" w:rsidP="00D041FC">
      <w:pPr>
        <w:rPr>
          <w:sz w:val="36"/>
          <w:szCs w:val="36"/>
        </w:rPr>
      </w:pPr>
      <w:r w:rsidRPr="00D041FC">
        <w:rPr>
          <w:sz w:val="36"/>
          <w:szCs w:val="36"/>
        </w:rPr>
        <w:t xml:space="preserve">For </w:t>
      </w:r>
      <w:r w:rsidRPr="00D041FC">
        <w:rPr>
          <w:b/>
          <w:bCs/>
          <w:sz w:val="36"/>
          <w:szCs w:val="36"/>
        </w:rPr>
        <w:t>today</w:t>
      </w:r>
      <w:r w:rsidRPr="00D041FC">
        <w:rPr>
          <w:sz w:val="36"/>
          <w:szCs w:val="36"/>
        </w:rPr>
        <w:t xml:space="preserve">, I would prioritize </w:t>
      </w:r>
      <w:r w:rsidRPr="00D041FC">
        <w:rPr>
          <w:b/>
          <w:bCs/>
          <w:sz w:val="36"/>
          <w:szCs w:val="36"/>
        </w:rPr>
        <w:t>1–10 and 12–15</w:t>
      </w:r>
      <w:r w:rsidRPr="00D041FC">
        <w:rPr>
          <w:sz w:val="36"/>
          <w:szCs w:val="36"/>
        </w:rPr>
        <w:t xml:space="preserve">. Those are the items </w:t>
      </w:r>
      <w:proofErr w:type="gramStart"/>
      <w:r w:rsidRPr="00D041FC">
        <w:rPr>
          <w:sz w:val="36"/>
          <w:szCs w:val="36"/>
        </w:rPr>
        <w:t>where</w:t>
      </w:r>
      <w:proofErr w:type="gramEnd"/>
      <w:r w:rsidRPr="00D041FC">
        <w:rPr>
          <w:sz w:val="36"/>
          <w:szCs w:val="36"/>
        </w:rPr>
        <w:t xml:space="preserve"> having the client and a real terminal in front of us gives us something we cannot easily reproduce later. I </w:t>
      </w:r>
      <w:r w:rsidRPr="00D041FC">
        <w:rPr>
          <w:sz w:val="36"/>
          <w:szCs w:val="36"/>
        </w:rPr>
        <w:lastRenderedPageBreak/>
        <w:t>would not spend their limited terminal time today on the native iOS/Android Collect work; that can be implemented after we have captured all the Poynt IDs, access and permissions.</w:t>
      </w:r>
    </w:p>
    <w:p w14:paraId="3325BA96" w14:textId="77777777" w:rsidR="00D041FC" w:rsidRPr="00D041FC" w:rsidRDefault="00D041FC" w:rsidP="00D041FC">
      <w:pPr>
        <w:rPr>
          <w:sz w:val="36"/>
          <w:szCs w:val="36"/>
        </w:rPr>
      </w:pPr>
      <w:r w:rsidRPr="00D041FC">
        <w:rPr>
          <w:sz w:val="36"/>
          <w:szCs w:val="36"/>
        </w:rPr>
        <w:t xml:space="preserve">The most important things not to finish today's session without recording are: </w:t>
      </w:r>
      <w:r w:rsidRPr="00D041FC">
        <w:rPr>
          <w:b/>
          <w:bCs/>
          <w:sz w:val="36"/>
          <w:szCs w:val="36"/>
        </w:rPr>
        <w:t>Business ID, Store ID, Device ID, whether this is a developer/test or live merchant terminal, what Poynt developer/cloud application access the client has, whether they can authorize our Cloud App, and whether Payment Bridge can actually reach their terminal.</w:t>
      </w:r>
    </w:p>
    <w:p w14:paraId="66567ADC" w14:textId="2DA7EEFD" w:rsidR="004A775B" w:rsidRDefault="0088049D">
      <w:r w:rsidRPr="0088049D">
        <w:t>https://mynikatech.in/memgine/images/memgine-customer-screen.png</w:t>
      </w:r>
    </w:p>
    <w:sectPr w:rsidR="004A7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56D88"/>
    <w:multiLevelType w:val="multilevel"/>
    <w:tmpl w:val="B49C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39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FC"/>
    <w:rsid w:val="00093339"/>
    <w:rsid w:val="000E421B"/>
    <w:rsid w:val="002A0BCB"/>
    <w:rsid w:val="004A775B"/>
    <w:rsid w:val="004E418F"/>
    <w:rsid w:val="0088049D"/>
    <w:rsid w:val="00A86841"/>
    <w:rsid w:val="00CE5BC6"/>
    <w:rsid w:val="00D04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77BFA"/>
  <w15:chartTrackingRefBased/>
  <w15:docId w15:val="{4E429476-516F-4A66-85F9-8B6AAC59D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1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1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1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1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1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1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1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1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1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1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1FC"/>
    <w:rPr>
      <w:rFonts w:eastAsiaTheme="majorEastAsia" w:cstheme="majorBidi"/>
      <w:color w:val="272727" w:themeColor="text1" w:themeTint="D8"/>
    </w:rPr>
  </w:style>
  <w:style w:type="paragraph" w:styleId="Title">
    <w:name w:val="Title"/>
    <w:basedOn w:val="Normal"/>
    <w:next w:val="Normal"/>
    <w:link w:val="TitleChar"/>
    <w:uiPriority w:val="10"/>
    <w:qFormat/>
    <w:rsid w:val="00D04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1FC"/>
    <w:pPr>
      <w:spacing w:before="160"/>
      <w:jc w:val="center"/>
    </w:pPr>
    <w:rPr>
      <w:i/>
      <w:iCs/>
      <w:color w:val="404040" w:themeColor="text1" w:themeTint="BF"/>
    </w:rPr>
  </w:style>
  <w:style w:type="character" w:customStyle="1" w:styleId="QuoteChar">
    <w:name w:val="Quote Char"/>
    <w:basedOn w:val="DefaultParagraphFont"/>
    <w:link w:val="Quote"/>
    <w:uiPriority w:val="29"/>
    <w:rsid w:val="00D041FC"/>
    <w:rPr>
      <w:i/>
      <w:iCs/>
      <w:color w:val="404040" w:themeColor="text1" w:themeTint="BF"/>
    </w:rPr>
  </w:style>
  <w:style w:type="paragraph" w:styleId="ListParagraph">
    <w:name w:val="List Paragraph"/>
    <w:basedOn w:val="Normal"/>
    <w:uiPriority w:val="34"/>
    <w:qFormat/>
    <w:rsid w:val="00D041FC"/>
    <w:pPr>
      <w:ind w:left="720"/>
      <w:contextualSpacing/>
    </w:pPr>
  </w:style>
  <w:style w:type="character" w:styleId="IntenseEmphasis">
    <w:name w:val="Intense Emphasis"/>
    <w:basedOn w:val="DefaultParagraphFont"/>
    <w:uiPriority w:val="21"/>
    <w:qFormat/>
    <w:rsid w:val="00D041FC"/>
    <w:rPr>
      <w:i/>
      <w:iCs/>
      <w:color w:val="2F5496" w:themeColor="accent1" w:themeShade="BF"/>
    </w:rPr>
  </w:style>
  <w:style w:type="paragraph" w:styleId="IntenseQuote">
    <w:name w:val="Intense Quote"/>
    <w:basedOn w:val="Normal"/>
    <w:next w:val="Normal"/>
    <w:link w:val="IntenseQuoteChar"/>
    <w:uiPriority w:val="30"/>
    <w:qFormat/>
    <w:rsid w:val="00D041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1FC"/>
    <w:rPr>
      <w:i/>
      <w:iCs/>
      <w:color w:val="2F5496" w:themeColor="accent1" w:themeShade="BF"/>
    </w:rPr>
  </w:style>
  <w:style w:type="character" w:styleId="IntenseReference">
    <w:name w:val="Intense Reference"/>
    <w:basedOn w:val="DefaultParagraphFont"/>
    <w:uiPriority w:val="32"/>
    <w:qFormat/>
    <w:rsid w:val="00D041FC"/>
    <w:rPr>
      <w:b/>
      <w:bCs/>
      <w:smallCaps/>
      <w:color w:val="2F5496" w:themeColor="accent1" w:themeShade="BF"/>
      <w:spacing w:val="5"/>
    </w:rPr>
  </w:style>
  <w:style w:type="character" w:styleId="Hyperlink">
    <w:name w:val="Hyperlink"/>
    <w:basedOn w:val="DefaultParagraphFont"/>
    <w:uiPriority w:val="99"/>
    <w:unhideWhenUsed/>
    <w:rsid w:val="00D041FC"/>
    <w:rPr>
      <w:color w:val="0563C1" w:themeColor="hyperlink"/>
      <w:u w:val="single"/>
    </w:rPr>
  </w:style>
  <w:style w:type="character" w:styleId="UnresolvedMention">
    <w:name w:val="Unresolved Mention"/>
    <w:basedOn w:val="DefaultParagraphFont"/>
    <w:uiPriority w:val="99"/>
    <w:semiHidden/>
    <w:unhideWhenUsed/>
    <w:rsid w:val="00D041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oynt.com/app-integration/semiIntegration/payment-bridge/get-started.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poynt.com/app-integration/semiIntegration/payment-bridge/get-started.html" TargetMode="External"/><Relationship Id="rId12" Type="http://schemas.openxmlformats.org/officeDocument/2006/relationships/hyperlink" Target="https://docs.poynt.com/app-integration/poynt-collect/getting-star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oynt.com/app-integration/terminalApps/" TargetMode="External"/><Relationship Id="rId11" Type="http://schemas.openxmlformats.org/officeDocument/2006/relationships/hyperlink" Target="https://docs.poynt.com/app-integration/poynt-collect/getting-started/" TargetMode="External"/><Relationship Id="rId5" Type="http://schemas.openxmlformats.org/officeDocument/2006/relationships/hyperlink" Target="https://docs.poynt.com/app-integration/terminalApps/" TargetMode="External"/><Relationship Id="rId10" Type="http://schemas.openxmlformats.org/officeDocument/2006/relationships/hyperlink" Target="https://docs.poynt.com/app-integration/semiIntegration/payment-bridge/get-started.html" TargetMode="External"/><Relationship Id="rId4" Type="http://schemas.openxmlformats.org/officeDocument/2006/relationships/webSettings" Target="webSettings.xml"/><Relationship Id="rId9" Type="http://schemas.openxmlformats.org/officeDocument/2006/relationships/hyperlink" Target="https://docs.poynt.com/app-integration/semiIntegration/payment-bridge/get-started.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Agarwal</dc:creator>
  <cp:keywords/>
  <dc:description/>
  <cp:lastModifiedBy>Sunil Agarwal</cp:lastModifiedBy>
  <cp:revision>1</cp:revision>
  <dcterms:created xsi:type="dcterms:W3CDTF">2026-10-05T16:25:00Z</dcterms:created>
  <dcterms:modified xsi:type="dcterms:W3CDTF">2026-10-08T18:33:00Z</dcterms:modified>
</cp:coreProperties>
</file>