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84A01">
      <w:pPr>
        <w:spacing w:before="0" w:after="120"/>
        <w:jc w:val="center"/>
      </w:pPr>
      <w:r>
        <w:rPr>
          <w:rFonts w:ascii="微软雅黑" w:hAnsi="微软雅黑" w:eastAsia="微软雅黑"/>
          <w:b/>
          <w:color w:val="1F4E79"/>
          <w:sz w:val="54"/>
        </w:rPr>
        <w:t>通答</w:t>
      </w:r>
      <w:r>
        <w:rPr>
          <w:rFonts w:hint="eastAsia" w:ascii="微软雅黑" w:hAnsi="微软雅黑" w:eastAsia="微软雅黑"/>
          <w:b/>
          <w:color w:val="1F4E79"/>
          <w:sz w:val="54"/>
          <w:lang w:val="en-US" w:eastAsia="zh-CN"/>
        </w:rPr>
        <w:t>平台阶段</w:t>
      </w:r>
      <w:r>
        <w:rPr>
          <w:rFonts w:ascii="微软雅黑" w:hAnsi="微软雅黑" w:eastAsia="微软雅黑"/>
          <w:b/>
          <w:color w:val="1F4E79"/>
          <w:sz w:val="54"/>
        </w:rPr>
        <w:t>汇报</w:t>
      </w:r>
      <w:bookmarkStart w:id="0" w:name="_GoBack"/>
      <w:bookmarkEnd w:id="0"/>
    </w:p>
    <w:p w14:paraId="1EF3290D"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666666"/>
          <w:sz w:val="25"/>
        </w:rPr>
        <w:t>AI 原生教育业务平台 · 从 AI 原生底座到商业化套件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4767ACD">
        <w:tc>
          <w:tcPr>
            <w:tcW w:w="468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7A6C">
            <w:pPr>
              <w:spacing w:before="0" w:after="0" w:line="288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/>
                <w:b/>
                <w:color w:val="1F4E79"/>
                <w:sz w:val="22"/>
              </w:rPr>
              <w:t>汇报人：</w:t>
            </w:r>
            <w:r>
              <w:rPr>
                <w:rFonts w:hint="eastAsia"/>
                <w:b/>
                <w:color w:val="1F4E79"/>
                <w:sz w:val="22"/>
                <w:lang w:val="en-US" w:eastAsia="zh-CN"/>
              </w:rPr>
              <w:t>张洪磊</w:t>
            </w:r>
          </w:p>
        </w:tc>
        <w:tc>
          <w:tcPr>
            <w:tcW w:w="468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EE84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2"/>
              </w:rPr>
              <w:t>汇报时间：2026年7月</w:t>
            </w:r>
          </w:p>
        </w:tc>
      </w:tr>
    </w:tbl>
    <w:p w14:paraId="0F8316EC">
      <w:pPr>
        <w:spacing w:after="160"/>
      </w:pPr>
    </w:p>
    <w:p w14:paraId="2674F5CB">
      <w:pPr>
        <w:spacing w:before="240" w:after="160"/>
        <w:jc w:val="left"/>
      </w:pPr>
      <w:r>
        <w:rPr>
          <w:rFonts w:ascii="宋体" w:hAnsi="宋体" w:eastAsia="宋体"/>
          <w:b/>
          <w:color w:val="1F4E79"/>
          <w:sz w:val="31"/>
        </w:rPr>
        <w:t>重点成果概览</w:t>
      </w:r>
    </w:p>
    <w:p w14:paraId="04CB149B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整体来看，通答平台的核心不是单点 AI 工具，而是以资料库沉淀知识资产、以空间承载业务过程、以 Lucky 智能体驱动角色工作、以场景模板复制垂直业务的 AI 原生教育业务平台。</w:t>
      </w:r>
    </w:p>
    <w:p w14:paraId="2E3E3509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在商业化层面，平台能力可以被拆解为平台、服务、资源和 Token 算力四类付费变量，并进一步组合为解决方案、套餐、租户和渠道合作模式，从而支撑从单点采购到场景持续增购的收入空间。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900"/>
        <w:gridCol w:w="4620"/>
        <w:gridCol w:w="2120"/>
      </w:tblGrid>
      <w:tr w14:paraId="5554F972">
        <w:trPr>
          <w:cantSplit/>
          <w:tblHeader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AE1B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219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方向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E7D6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主要内容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8EAE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价值体现</w:t>
            </w:r>
          </w:p>
        </w:tc>
      </w:tr>
      <w:tr w14:paraId="1D2FA9E6">
        <w:trPr>
          <w:cantSplit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E278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01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35A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AI 原生底座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ABA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明确通答不是传统系统叠加 AI，而是以资料库、空间和 Lucky 智能体为核心的 AI 原生业务平台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113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形成统一平台定位</w:t>
            </w:r>
          </w:p>
        </w:tc>
      </w:tr>
      <w:tr w14:paraId="4DB78F77">
        <w:trPr>
          <w:cantSplit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ADEF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02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01F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架构与交付体系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6D0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沉淀 Lucky、资料库、空间、场景模板、解决方案、套餐和租户等可组合能力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7FE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支撑标准化交付</w:t>
            </w:r>
          </w:p>
        </w:tc>
      </w:tr>
      <w:tr w14:paraId="5FDC60E4">
        <w:trPr>
          <w:cantSplit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458C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03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3BF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商业化套件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A8D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把平台、服务、资源和 Token 算力组合为基础平台包、通识教学包、培训实训包、运营服务包和算力包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EBD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形成持续付费空间</w:t>
            </w:r>
          </w:p>
        </w:tc>
      </w:tr>
      <w:tr w14:paraId="11CC7F23">
        <w:trPr>
          <w:cantSplit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E670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04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2B2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算力与渠道模式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FFF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通过模型统计支撑 Token 计量，并探索运营商渠道合作，把算力成本转化为宽带增值服务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AE3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打开渠道收入路径</w:t>
            </w:r>
          </w:p>
        </w:tc>
      </w:tr>
      <w:tr w14:paraId="32063E55">
        <w:trPr>
          <w:cantSplit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59AC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05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C2D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场景验证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33A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宁波大学科学技术学院 AI 赋能中层干部管理工作坊验证了空间实训、课件生成和智能体创建闭环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81C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证明平台可落地</w:t>
            </w:r>
          </w:p>
        </w:tc>
      </w:tr>
      <w:tr w14:paraId="02E3DFE8">
        <w:trPr>
          <w:cantSplit/>
        </w:trPr>
        <w:tc>
          <w:tcPr>
            <w:tcW w:w="7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F48C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06</w:t>
            </w:r>
          </w:p>
        </w:tc>
        <w:tc>
          <w:tcPr>
            <w:tcW w:w="190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6AE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F4E79"/>
                <w:sz w:val="20"/>
              </w:rPr>
              <w:t>生态与开发模式</w:t>
            </w:r>
          </w:p>
        </w:tc>
        <w:tc>
          <w:tcPr>
            <w:tcW w:w="46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31A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研习社、教师全场景愿景和 AI + 敏捷流程共同支撑后续生态运营和快速迭代</w:t>
            </w:r>
          </w:p>
        </w:tc>
        <w:tc>
          <w:tcPr>
            <w:tcW w:w="2120" w:type="dxa"/>
            <w:tcBorders>
              <w:top w:val="single" w:color="9EADBC" w:sz="6" w:space="0"/>
              <w:left w:val="single" w:color="9EADBC" w:sz="6" w:space="0"/>
              <w:bottom w:val="single" w:color="9EADBC" w:sz="6" w:space="0"/>
              <w:right w:val="single" w:color="9EADBC" w:sz="6" w:space="0"/>
            </w:tcBorders>
            <w:shd w:val="clear" w:color="auto" w:fill="F4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4F62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 w:val="0"/>
                <w:color w:val="222222"/>
                <w:sz w:val="20"/>
              </w:rPr>
              <w:t>扩大长期增长空间</w:t>
            </w:r>
          </w:p>
        </w:tc>
      </w:tr>
    </w:tbl>
    <w:p w14:paraId="2BF3EA6B">
      <w:pPr>
        <w:spacing w:after="160"/>
      </w:pPr>
    </w:p>
    <w:p w14:paraId="6385D9A7">
      <w:pPr>
        <w:spacing w:before="240" w:after="160"/>
        <w:jc w:val="left"/>
      </w:pPr>
      <w:r>
        <w:rPr>
          <w:rFonts w:ascii="宋体" w:hAnsi="宋体" w:eastAsia="宋体"/>
          <w:b/>
          <w:color w:val="1F4E79"/>
          <w:sz w:val="31"/>
        </w:rPr>
        <w:t>一、重点工作完成情况</w:t>
      </w:r>
    </w:p>
    <w:p w14:paraId="6158D041">
      <w:pPr>
        <w:spacing w:before="160" w:after="100"/>
        <w:jc w:val="left"/>
      </w:pPr>
      <w:r>
        <w:rPr>
          <w:rFonts w:ascii="宋体" w:hAnsi="宋体" w:eastAsia="宋体"/>
          <w:b/>
          <w:color w:val="C98700"/>
          <w:sz w:val="27"/>
        </w:rPr>
        <w:t xml:space="preserve">◆ </w:t>
      </w:r>
      <w:r>
        <w:rPr>
          <w:rFonts w:ascii="宋体" w:hAnsi="宋体" w:eastAsia="宋体"/>
          <w:b/>
          <w:color w:val="2F5597"/>
          <w:sz w:val="27"/>
        </w:rPr>
        <w:t>1. 平台定位和建设初衷进一步清晰</w:t>
      </w:r>
    </w:p>
    <w:p w14:paraId="7FE3A178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通答平台定位为 AI 原生教育业务平台。AI 不作为外挂工具存在，而是嵌入资料沉淀、空间协作、角色赋能、流程推进、内容生成和数据分析全过程。</w:t>
      </w:r>
    </w:p>
    <w:p w14:paraId="2B1D30BD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技术前沿性方面，平台以 AI 原生架构、智能体、知识库、空间和场景模板承接大模型能力，把前沿技术内化为可复用底座。</w:t>
      </w:r>
    </w:p>
    <w:p w14:paraId="2D3C5328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市场适配性方面，平台面向教师培训、教研、教学、干部培训和区域服务等真实业务需求，能够转化为客户可理解、可采购、可使用的场景方案。</w:t>
      </w:r>
    </w:p>
    <w:p w14:paraId="4FADDB0D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体验设计方面，坚持两个“简单”：一是 UI 和交互采用主流方式，操作简单；二是产品设计尽量克制，概念尽可能少，降低用户理解成本。</w:t>
      </w:r>
    </w:p>
    <w:p w14:paraId="36A9003E">
      <w:pPr>
        <w:spacing w:before="160" w:after="100"/>
        <w:jc w:val="left"/>
      </w:pPr>
      <w:r>
        <w:rPr>
          <w:rFonts w:ascii="宋体" w:hAnsi="宋体" w:eastAsia="宋体"/>
          <w:b/>
          <w:color w:val="C98700"/>
          <w:sz w:val="27"/>
        </w:rPr>
        <w:t xml:space="preserve">◆ </w:t>
      </w:r>
      <w:r>
        <w:rPr>
          <w:rFonts w:ascii="宋体" w:hAnsi="宋体" w:eastAsia="宋体"/>
          <w:b/>
          <w:color w:val="2F5597"/>
          <w:sz w:val="27"/>
        </w:rPr>
        <w:t>2. 资料库、空间和 Lucky 形成平台核心架构</w:t>
      </w:r>
    </w:p>
    <w:p w14:paraId="6A63257D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平台底层由资料库、空间和 Lucky 智能体共同构成。资料库负责把课程、案例、成果和业务资料沉淀为可检索、可问答、可生成的知识资产；空间负责承载培训、教研、教学和项目协作过程；Lucky 智能体既可以独立使用，也可以导入空间，为不同角色提供智能助理能力。</w:t>
      </w:r>
    </w:p>
    <w:p w14:paraId="3CA38BF1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资料库解决“知识资产在哪里沉淀”的问题，使业务资料从一次性文件变成可持续复用的知识底座。</w:t>
      </w:r>
    </w:p>
    <w:p w14:paraId="4FA96E10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空间解决“业务过程在哪里开展”的问题，把成员、任务、权限、流程、工具、协同和成果组织起来。</w:t>
      </w:r>
    </w:p>
    <w:p w14:paraId="24D5E71E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Lucky 解决“AI 如何进入角色工作”的问题，为教师、干部、教研员、运营人员等不同角色提供问答、生成、分析和任务辅助。</w:t>
      </w:r>
    </w:p>
    <w:p w14:paraId="71DCA604">
      <w:pPr>
        <w:spacing w:before="160" w:after="100"/>
        <w:jc w:val="left"/>
      </w:pPr>
      <w:r>
        <w:rPr>
          <w:rFonts w:ascii="宋体" w:hAnsi="宋体" w:eastAsia="宋体"/>
          <w:b/>
          <w:color w:val="C98700"/>
          <w:sz w:val="27"/>
        </w:rPr>
        <w:t xml:space="preserve">◆ </w:t>
      </w:r>
      <w:r>
        <w:rPr>
          <w:rFonts w:ascii="宋体" w:hAnsi="宋体" w:eastAsia="宋体"/>
          <w:b/>
          <w:color w:val="2F5597"/>
          <w:sz w:val="27"/>
        </w:rPr>
        <w:t>3. 空间抽象和场景模板支撑垂直业务复制</w:t>
      </w:r>
    </w:p>
    <w:p w14:paraId="1A86BD11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空间的抽象是为了应对多类业务，把资料、任务、角色、权限、工具、协同、评价和智能体能力沉淀为可复用组件；场景模板则是把这些组件按照业务场景组装的过程。</w:t>
      </w:r>
    </w:p>
    <w:p w14:paraId="0CA8D2AC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面向教师培训、教研、教学、工作坊、工作室等不同业务时，不需要从零开发系统，而是通过模板预配置形成可复制的业务空间。</w:t>
      </w:r>
    </w:p>
    <w:p w14:paraId="068CEA98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从抽象到场景化、垂直化的过程，本质上是把通用平台组件变成行业可交付方案，既提升交付效率，也降低客户理解难度。</w:t>
      </w:r>
    </w:p>
    <w:p w14:paraId="4DD3FEBA">
      <w:pPr>
        <w:spacing w:before="160" w:after="100"/>
        <w:jc w:val="left"/>
      </w:pPr>
      <w:r>
        <w:rPr>
          <w:rFonts w:ascii="宋体" w:hAnsi="宋体" w:eastAsia="宋体"/>
          <w:b/>
          <w:color w:val="C98700"/>
          <w:sz w:val="27"/>
        </w:rPr>
        <w:t xml:space="preserve">◆ </w:t>
      </w:r>
      <w:r>
        <w:rPr>
          <w:rFonts w:ascii="宋体" w:hAnsi="宋体" w:eastAsia="宋体"/>
          <w:b/>
          <w:color w:val="2F5597"/>
          <w:sz w:val="27"/>
        </w:rPr>
        <w:t>4. 组合交付形态和商业化套件逐步成型</w:t>
      </w:r>
    </w:p>
    <w:p w14:paraId="0AE5E57E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通答平台可以根据客户成熟度和采购场景形成多种组合交付形态：Lucky 独立智能体平台、Lucky + 资料库、Lucky + 资料库 + 空间，以及进一步叠加场景模板的完整业务方案。</w:t>
      </w:r>
    </w:p>
    <w:p w14:paraId="342A70C5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解决方案用于定义业务价值，面向教师培训、教研共同体、校本研修、课堂教学支持等场景封装能力。</w:t>
      </w:r>
    </w:p>
    <w:p w14:paraId="46A8ED88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套餐用于定义付费组合，把功能、容量、用户规模、空间数量、智能体能力、数据分析和服务等级组合为标准化售卖形态。</w:t>
      </w:r>
    </w:p>
    <w:p w14:paraId="63492BF4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租户用于承载客户运营，面向教育局、学校、培训机构或项目单位建立独立运营单元，实现数据隔离、权限独立和统一运维。</w:t>
      </w:r>
    </w:p>
    <w:p w14:paraId="5D5D34A0">
      <w:pPr>
        <w:spacing w:before="160" w:after="100"/>
        <w:jc w:val="left"/>
      </w:pPr>
      <w:r>
        <w:rPr>
          <w:rFonts w:ascii="宋体" w:hAnsi="宋体" w:eastAsia="宋体"/>
          <w:b/>
          <w:color w:val="C98700"/>
          <w:sz w:val="27"/>
        </w:rPr>
        <w:t xml:space="preserve">◆ </w:t>
      </w:r>
      <w:r>
        <w:rPr>
          <w:rFonts w:ascii="宋体" w:hAnsi="宋体" w:eastAsia="宋体"/>
          <w:b/>
          <w:color w:val="2F5597"/>
          <w:sz w:val="27"/>
        </w:rPr>
        <w:t>5. Token 算力和运营商渠道形成商业化延展</w:t>
      </w:r>
    </w:p>
    <w:p w14:paraId="3F0C03E5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平台、服务、资源和算力是商业付费模式的四类变量。其中 Token 算力模式是通答平台的重要特点，模型统计模块为算力计量、成本核算、套餐设计、用量预警和客户对账提供基础。</w:t>
      </w:r>
    </w:p>
    <w:p w14:paraId="0E8FD7BB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通过模型统计，AI 调用、Token 消耗和租户、用户、空间、智能体、场景等业务维度可以建立归属关系，让算力付费有记录、有边界、可核算、可结算。</w:t>
      </w:r>
    </w:p>
    <w:p w14:paraId="61DC16DF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以运营商作为平台渠道时，通答可以向运营商收取平台和服务费用，运营商面向最终学校用户收取算力费用。区域学校本身已使用运营商宽带，将算力成本作为宽带能力补充，双方都更容易操作。</w:t>
      </w:r>
    </w:p>
    <w:p w14:paraId="63AC0E28">
      <w:pPr>
        <w:spacing w:before="160" w:after="100"/>
        <w:jc w:val="left"/>
      </w:pPr>
      <w:r>
        <w:rPr>
          <w:rFonts w:ascii="宋体" w:hAnsi="宋体" w:eastAsia="宋体"/>
          <w:b/>
          <w:color w:val="C98700"/>
          <w:sz w:val="27"/>
        </w:rPr>
        <w:t xml:space="preserve">◆ </w:t>
      </w:r>
      <w:r>
        <w:rPr>
          <w:rFonts w:ascii="宋体" w:hAnsi="宋体" w:eastAsia="宋体"/>
          <w:b/>
          <w:color w:val="2F5597"/>
          <w:sz w:val="27"/>
        </w:rPr>
        <w:t>6. 宁波大学科学技术学院工作坊完成场景验证</w:t>
      </w:r>
    </w:p>
    <w:p w14:paraId="3DDE23AE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宁波大学科学技术学院 AI 赋能中层干部管理工作坊，基于通答空间实训模式、Lucky 智能体平台和资料库，对干部开展 AI 能力培训。通答平台既是本次实训授课平台载体，也是实训内容平台。</w:t>
      </w:r>
    </w:p>
    <w:p w14:paraId="714C5FD1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实训课件由 Lucky 辅助生成，实训操作在通答平台上完成，形成内容生成、平台授课、现场实操、反馈沉淀的闭环。</w:t>
      </w:r>
    </w:p>
    <w:p w14:paraId="70B918C4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学员创建的智能体成果集中体现三类需求：招生招考类 36 个、课堂场景构建类 12 个、课件制作工坊类 16 个，验证了咨询答疑、教学设计、课件生成和实训成果沉淀等场景。</w:t>
      </w:r>
    </w:p>
    <w:p w14:paraId="42B98FC4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该案例说明“空间 + 智能体 + 资料库”的组合可以承载线下培训和实训，并获得市场和学员的较好反馈。</w:t>
      </w:r>
    </w:p>
    <w:p w14:paraId="5EAEC470">
      <w:pPr>
        <w:spacing w:before="240" w:after="160"/>
        <w:jc w:val="left"/>
      </w:pPr>
      <w:r>
        <w:rPr>
          <w:rFonts w:ascii="宋体" w:hAnsi="宋体" w:eastAsia="宋体"/>
          <w:b/>
          <w:color w:val="1F4E79"/>
          <w:sz w:val="31"/>
        </w:rPr>
        <w:t>二、主要成果与价值</w:t>
      </w:r>
    </w:p>
    <w:p w14:paraId="1DACE331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第一，通答平台完成了从 AI 工具到 AI 原生业务底座的表达升级。平台价值不再局限于问答和生成，而是进入知识资产、业务空间、角色助手、流程协同和数据沉淀等业务环节。</w:t>
      </w:r>
    </w:p>
    <w:p w14:paraId="591F715F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第二，平台为公司后续业务扩展提供统一底座。基于资料库、空间、智能体和场景模板，后续可以从教师培训扩展到教研、教学、干部培训、区域服务、AI 通识教学等更多场景。</w:t>
      </w:r>
    </w:p>
    <w:p w14:paraId="2B48EF49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第三，平台为客户用户提供 AI 助理能力。教师、干部、教研员等角色可以在资料处理、内容生成、方案设计、任务执行和成果沉淀中获得更直接的效率提升。</w:t>
      </w:r>
    </w:p>
    <w:p w14:paraId="67F1C43F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第四，平台为客户组织提供数字化业务能力。学校、区域和机构可以沉淀知识资产、规范业务流程、提升协同效率，并形成可复制的培训、教研和教学业务体系。</w:t>
      </w:r>
    </w:p>
    <w:p w14:paraId="4595CB50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第五，平台打开了持续商业化空间。通过平台、服务、资源和 Token 算力形成多变量付费体系，并能够承接套餐、租户、场景解决方案和运营商合作等多种模式。</w:t>
      </w:r>
    </w:p>
    <w:p w14:paraId="6F057C16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第六，AI + 敏捷流程正在重塑内部产研协作方式。当前 3 个月实践显示，在 AI 与敏捷流程加持下，研发效率至少提升 6 倍，团队能力从单点开发扩展到需求理解、产品设计、技术实现、测试验证和迭代运营。</w:t>
      </w:r>
    </w:p>
    <w:p w14:paraId="1BA954FA">
      <w:pPr>
        <w:spacing w:before="240" w:after="160"/>
        <w:jc w:val="left"/>
      </w:pPr>
      <w:r>
        <w:rPr>
          <w:rFonts w:ascii="宋体" w:hAnsi="宋体" w:eastAsia="宋体"/>
          <w:b/>
          <w:color w:val="1F4E79"/>
          <w:sz w:val="31"/>
        </w:rPr>
        <w:t>三、问题反思</w:t>
      </w:r>
    </w:p>
    <w:p w14:paraId="0C519F2E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一是平台能力需要进一步从“能讲清楚”走向“能标准售卖”。目前平台架构、价值和组合形态已经明确，但还需要进一步沉淀成标准套餐、报价边界、交付清单和验收口径。</w:t>
      </w:r>
    </w:p>
    <w:p w14:paraId="36F82319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二是场景模板需要持续打磨。空间抽象能力较强，但面向不同客户时，仍需要把 AI 通识教学、培训实训、教研共同体、工作坊等场景形成更成熟的模板、任务流和资料包。</w:t>
      </w:r>
    </w:p>
    <w:p w14:paraId="1DC0E544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三是 Token 付费模式需要结合客户采购习惯设计。Token 是平台特色，但在教育客户场景中，需要把算力计量与套餐、服务、资源、渠道合作绑定起来，避免客户只感知成本而看不到业务价值。</w:t>
      </w:r>
    </w:p>
    <w:p w14:paraId="33A8D9EB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四是运营商渠道模式仍需要试点验证。运营商具备区域学校覆盖和宽带渠道优势，但平台方、运营商和学校之间的费用分摊、服务边界、算力套餐和续费机制仍需通过试点明确。</w:t>
      </w:r>
    </w:p>
    <w:p w14:paraId="3547EED0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2F5597"/>
          <w:sz w:val="24"/>
        </w:rPr>
        <w:t xml:space="preserve">● </w:t>
      </w:r>
      <w:r>
        <w:rPr>
          <w:rFonts w:ascii="宋体" w:hAnsi="宋体" w:eastAsia="宋体"/>
          <w:b w:val="0"/>
          <w:color w:val="222222"/>
          <w:sz w:val="24"/>
        </w:rPr>
        <w:t>五是研习社和内容生态需要运营机制支撑。UGC + AIGC 的内容交流社区可以促进平台推广和案例沉淀，但需要持续的主题策划、案例标准、内容审核和用户激励机制。</w:t>
      </w:r>
    </w:p>
    <w:p w14:paraId="14942512">
      <w:pPr>
        <w:spacing w:before="240" w:after="160"/>
        <w:jc w:val="left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color w:val="1F4E79"/>
          <w:sz w:val="31"/>
        </w:rPr>
        <w:t>四、后续工作</w:t>
      </w:r>
      <w:r>
        <w:rPr>
          <w:rFonts w:hint="eastAsia"/>
          <w:b/>
          <w:color w:val="1F4E79"/>
          <w:sz w:val="31"/>
          <w:lang w:val="en-US" w:eastAsia="zh-CN"/>
        </w:rPr>
        <w:t>规划</w:t>
      </w:r>
    </w:p>
    <w:p w14:paraId="3E19B037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完善 AI 人工智能通识教学平台场景。围绕学校、区域和机构客户，建设 AI 通识课程、案例资源、学习任务和智能体体验；资料库沉淀课程与案例，空间承载班级、项目和任务，Lucky 提供问答、辅导、生成和实践支持。</w:t>
      </w:r>
    </w:p>
    <w:p w14:paraId="27C0767F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完善培训场景。围绕干部培训、教师培训和工作坊，形成线上/线下培训 + 线上/线下实训 + 智能体底座的一体化交付模式。线上承载课程学习、资料分发、任务提交和过程跟踪，线下承载集中授课、实操演练和成果点评。</w:t>
      </w:r>
    </w:p>
    <w:p w14:paraId="7943DE2B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完善商业化套件。围绕两大重点场景形成“解决方案 + 套餐 + 资源包 + 场景模板 + Token 算力”的交付套件，重点完善基础平台包、AI 通识教学包、培训实训包、运营服务包和 Token 算力包。</w:t>
      </w:r>
    </w:p>
    <w:p w14:paraId="40539C72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推进 Token 计量和模型统计产品化。继续完善租户、用户、空间、智能体、场景等维度的消耗统计，为成本核算、套餐设计、用量预警、客户对账和运营商结算提供稳定数据基础。</w:t>
      </w:r>
    </w:p>
    <w:p w14:paraId="5FFD2DC8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推进运营商渠道试点。可优先围绕具备学校宽带覆盖优势的区域运营商，设计平台 + 服务费、算力包、学校端采购路径和续费机制，把教育 AI 场景转化为可持续算力收入。</w:t>
      </w:r>
    </w:p>
    <w:p w14:paraId="2B88983A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启动研习社内容运营。围绕最佳实践、案例展示、主题交流和资源共创，形成平台推广和内容沉淀阵地，让用户贡献的一线经验与 AIGC 整理能力结合起来。</w:t>
      </w:r>
    </w:p>
    <w:p w14:paraId="75491539">
      <w:pPr>
        <w:spacing w:before="0" w:after="100" w:line="348" w:lineRule="auto"/>
        <w:jc w:val="both"/>
      </w:pPr>
      <w:r>
        <w:rPr>
          <w:rFonts w:ascii="宋体" w:hAnsi="宋体" w:eastAsia="宋体"/>
          <w:b/>
          <w:color w:val="C98700"/>
          <w:sz w:val="24"/>
        </w:rPr>
        <w:t xml:space="preserve">▸ </w:t>
      </w:r>
      <w:r>
        <w:rPr>
          <w:rFonts w:ascii="宋体" w:hAnsi="宋体" w:eastAsia="宋体"/>
          <w:b w:val="0"/>
          <w:color w:val="222222"/>
          <w:sz w:val="24"/>
        </w:rPr>
        <w:t>持续建设教师全场景愿景。面向教师培训、教研、教学、工作坊、工作室、AI 通识学习和实训等场景，覆盖更多教学、教研、培训学习等场景数据，逐步形成教师全域档案，推动客户从单点采购走向场景持续增购。</w:t>
      </w:r>
    </w:p>
    <w:p w14:paraId="0FCAC1F8">
      <w:pPr>
        <w:spacing w:before="240" w:after="160"/>
        <w:jc w:val="left"/>
      </w:pPr>
      <w:r>
        <w:rPr>
          <w:rFonts w:ascii="宋体" w:hAnsi="宋体" w:eastAsia="宋体"/>
          <w:b/>
          <w:color w:val="1F4E79"/>
          <w:sz w:val="31"/>
        </w:rPr>
        <w:t>五、总结</w:t>
      </w:r>
    </w:p>
    <w:p w14:paraId="0B669D55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通答平台的长期价值，是把 AI 从单点工具升级为教育业务基础设施。资料库让知识资产可沉淀，空间让业务过程可承载，Lucky 让角色工作具备智能体体验，场景模板让复杂业务可以复制交付。</w:t>
      </w:r>
    </w:p>
    <w:p w14:paraId="6E9B88F1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从商业化角度看，通答平台已经具备“平台能力 + 场景落地 + Token 算力商业化”的基本闭环。后续只要继续围绕两大重点场景完善产品化套件，并通过标杆案例、研习社运营和运营商渠道试点放大市场触达，就可以逐步形成面向场景的持续增购空间。</w:t>
      </w:r>
    </w:p>
    <w:p w14:paraId="5E327AC6">
      <w:pPr>
        <w:spacing w:before="0" w:after="120" w:line="372" w:lineRule="auto"/>
        <w:jc w:val="both"/>
      </w:pPr>
      <w:r>
        <w:rPr>
          <w:rFonts w:ascii="宋体" w:hAnsi="宋体" w:eastAsia="宋体"/>
          <w:b w:val="0"/>
          <w:color w:val="222222"/>
          <w:sz w:val="24"/>
        </w:rPr>
        <w:t>从组织能力角度看，通答自身也在通过 AI + 敏捷流程提升产研效率。3 个月至少 6 倍提效的实践说明，开发模式创新不是简单工具替换，而是用 AI 重构需求理解、产品设计、代码生成、联调测试和上线验证的协作链路，为平台持续快速迭代提供了基础。</w:t>
      </w:r>
    </w:p>
    <w:sectPr>
      <w:pgSz w:w="12240" w:h="15840"/>
      <w:pgMar w:top="1191" w:right="1247" w:bottom="1077" w:left="1361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7FCB1A"/>
    <w:rsid w:val="1F9E3332"/>
    <w:rsid w:val="579BF188"/>
    <w:rsid w:val="5F777DED"/>
    <w:rsid w:val="6D5D9CFF"/>
    <w:rsid w:val="767FD80C"/>
    <w:rsid w:val="76DDD49F"/>
    <w:rsid w:val="BF577674"/>
    <w:rsid w:val="E76F6D92"/>
    <w:rsid w:val="F7EB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Office_12.1.26030.26030_F1E327BC-269C-435d-A152-05C5408002CA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张洪磊</cp:lastModifiedBy>
  <dcterms:modified xsi:type="dcterms:W3CDTF">2026-07-17T14:31:15Z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2052-12.1.26030.26030</vt:lpwstr>
  </property>
  <property fmtid="{D5CDD505-2E9C-101B-9397-08002B2CF9AE}" pid="3" name="ICV">
    <vt:lpwstr>38B6E07EA9C942F8DECB596A7C25125D_42</vt:lpwstr>
  </property>
</Properties>
</file>