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ＭＳ ゴシック" w:cs="ＭＳ ゴシック" w:eastAsia="ＭＳ ゴシック" w:hAnsi="ＭＳ ゴシック"/>
          <w:b/>
          <w:bCs/>
          <w:sz w:val="32"/>
          <w:szCs w:val="32"/>
        </w:rPr>
        <w:t xml:space="preserve">物品購入理由書</w:t>
      </w:r>
    </w:p>
    <w:p>
      <w:pPr>
        <w:spacing w:after="320"/>
        <w:jc w:val="center"/>
      </w:pPr>
      <w:r>
        <w:rPr>
          <w:rFonts w:ascii="ＭＳ ゴシック" w:cs="ＭＳ ゴシック" w:eastAsia="ＭＳ ゴシック" w:hAnsi="ＭＳ ゴシック"/>
          <w:sz w:val="21"/>
          <w:szCs w:val="21"/>
        </w:rPr>
        <w:t xml:space="preserve">ネットワーク接続ストレージ（NAS）　UGREEN NASync DXP4800 Plus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申請日</w:t>
            </w:r>
          </w:p>
        </w:tc>
        <w:tc>
          <w:tcPr>
            <w:tcW w:type="dxa" w:w="72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　　　　年　　月　　日</w:t>
            </w:r>
          </w:p>
        </w:tc>
      </w:tr>
      <w:tr>
        <w:trPr>
          <w:cantSplit/>
        </w:trPr>
        <w:tc>
          <w:tcPr>
            <w:tcW w:type="dxa" w:w="24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所属・職名</w:t>
            </w:r>
          </w:p>
        </w:tc>
        <w:tc>
          <w:tcPr>
            <w:tcW w:type="dxa" w:w="72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　</w:t>
            </w:r>
          </w:p>
        </w:tc>
      </w:tr>
      <w:tr>
        <w:trPr>
          <w:cantSplit/>
        </w:trPr>
        <w:tc>
          <w:tcPr>
            <w:tcW w:type="dxa" w:w="24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氏名</w:t>
            </w:r>
          </w:p>
        </w:tc>
        <w:tc>
          <w:tcPr>
            <w:tcW w:type="dxa" w:w="72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　</w:t>
            </w:r>
          </w:p>
        </w:tc>
      </w:tr>
      <w:tr>
        <w:trPr>
          <w:cantSplit/>
        </w:trPr>
        <w:tc>
          <w:tcPr>
            <w:tcW w:type="dxa" w:w="24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経費区分</w:t>
            </w:r>
          </w:p>
        </w:tc>
        <w:tc>
          <w:tcPr>
            <w:tcW w:type="dxa" w:w="72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学内個人研究費</w:t>
            </w:r>
          </w:p>
        </w:tc>
      </w:tr>
      <w:tr>
        <w:trPr>
          <w:cantSplit/>
        </w:trPr>
        <w:tc>
          <w:tcPr>
            <w:tcW w:type="dxa" w:w="24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品名</w:t>
            </w:r>
          </w:p>
        </w:tc>
        <w:tc>
          <w:tcPr>
            <w:tcW w:type="dxa" w:w="72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ネットワーク接続ストレージ（NAS）</w:t>
            </w:r>
          </w:p>
        </w:tc>
      </w:tr>
      <w:tr>
        <w:trPr>
          <w:cantSplit/>
        </w:trPr>
        <w:tc>
          <w:tcPr>
            <w:tcW w:type="dxa" w:w="24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型番</w:t>
            </w:r>
          </w:p>
        </w:tc>
        <w:tc>
          <w:tcPr>
            <w:tcW w:type="dxa" w:w="72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UGREEN NASync DXP4800 Plus（DXP4800PLUS／4ベイ・ディスクレスモデル）</w:t>
            </w:r>
          </w:p>
        </w:tc>
      </w:tr>
      <w:tr>
        <w:trPr>
          <w:cantSplit/>
        </w:trPr>
        <w:tc>
          <w:tcPr>
            <w:tcW w:type="dxa" w:w="24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数量</w:t>
            </w:r>
          </w:p>
        </w:tc>
        <w:tc>
          <w:tcPr>
            <w:tcW w:type="dxa" w:w="72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1台（本体のみ）</w:t>
            </w:r>
          </w:p>
        </w:tc>
      </w:tr>
      <w:tr>
        <w:trPr>
          <w:cantSplit/>
        </w:trPr>
        <w:tc>
          <w:tcPr>
            <w:tcW w:type="dxa" w:w="24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見積金額</w:t>
            </w:r>
          </w:p>
        </w:tc>
        <w:tc>
          <w:tcPr>
            <w:tcW w:type="dxa" w:w="72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94,930円（税込）　※税別 86,300円＋消費税 8,630円</w:t>
            </w:r>
          </w:p>
        </w:tc>
      </w:tr>
      <w:tr>
        <w:trPr>
          <w:cantSplit/>
        </w:trPr>
        <w:tc>
          <w:tcPr>
            <w:tcW w:type="dxa" w:w="24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見積業者</w:t>
            </w:r>
          </w:p>
        </w:tc>
        <w:tc>
          <w:tcPr>
            <w:tcW w:type="dxa" w:w="72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双葉工機株式会社（見積書第44602号・2026年8月25日付）</w:t>
            </w:r>
          </w:p>
        </w:tc>
      </w:tr>
    </w:tbl>
    <w:p>
      <w:pPr>
        <w:pBdr>
          <w:bottom w:val="single" w:color="808080" w:sz="6" w:space="4"/>
        </w:pBdr>
        <w:spacing w:after="140" w:before="280"/>
      </w:pPr>
      <w:r>
        <w:rPr>
          <w:rFonts w:ascii="ＭＳ ゴシック" w:cs="ＭＳ ゴシック" w:eastAsia="ＭＳ ゴシック" w:hAnsi="ＭＳ ゴシック"/>
          <w:b/>
          <w:bCs/>
          <w:sz w:val="24"/>
          <w:szCs w:val="24"/>
        </w:rPr>
        <w:t xml:space="preserve">1. 購入の目的</w:t>
      </w:r>
    </w:p>
    <w:p>
      <w:pPr>
        <w:spacing w:after="100" w:line="290" w:lineRule="auto"/>
        <w:ind w:firstLine="210"/>
      </w:pPr>
      <w:r>
        <w:rPr>
          <w:rFonts w:ascii="ＭＳ 明朝" w:cs="ＭＳ 明朝" w:eastAsia="ＭＳ 明朝" w:hAnsi="ＭＳ 明朝"/>
          <w:sz w:val="21"/>
          <w:szCs w:val="21"/>
        </w:rPr>
        <w:t xml:space="preserve">研究資料・研究データを一元的に集約し、AIツールが継続的に参照・処理できる常時稼働型の研究データ基盤を構築するため、ネットワーク接続ストレージ（NAS）を導入する。</w:t>
      </w:r>
    </w:p>
    <w:p>
      <w:pPr>
        <w:spacing w:after="100" w:line="290" w:lineRule="auto"/>
        <w:ind w:firstLine="210"/>
      </w:pPr>
      <w:r>
        <w:rPr>
          <w:rFonts w:ascii="ＭＳ 明朝" w:cs="ＭＳ 明朝" w:eastAsia="ＭＳ 明朝" w:hAnsi="ＭＳ 明朝"/>
          <w:sz w:val="21"/>
          <w:szCs w:val="21"/>
        </w:rPr>
        <w:t xml:space="preserve">本申請は単独のストレージ設備の追加ではなく、</w:t>
      </w:r>
      <w:r>
        <w:rPr>
          <w:rFonts w:ascii="ＭＳ 明朝" w:cs="ＭＳ 明朝" w:eastAsia="ＭＳ 明朝" w:hAnsi="ＭＳ 明朝"/>
          <w:b/>
          <w:bCs/>
          <w:sz w:val="21"/>
          <w:szCs w:val="21"/>
        </w:rPr>
        <w:t xml:space="preserve">既に学内個人研究費によって導入しているAIツール（Claude Code、Codex等）と研究データを接続し、これまでの研究環境整備への投資を有効に活用するための情報基盤整備</w:t>
      </w:r>
      <w:r>
        <w:rPr>
          <w:rFonts w:ascii="ＭＳ 明朝" w:cs="ＭＳ 明朝" w:eastAsia="ＭＳ 明朝" w:hAnsi="ＭＳ 明朝"/>
          <w:sz w:val="21"/>
          <w:szCs w:val="21"/>
        </w:rPr>
        <w:t xml:space="preserve">として位置づけられる。</w:t>
      </w:r>
    </w:p>
    <w:p>
      <w:pPr>
        <w:pBdr>
          <w:bottom w:val="single" w:color="808080" w:sz="6" w:space="4"/>
        </w:pBdr>
        <w:spacing w:after="140" w:before="280"/>
      </w:pPr>
      <w:r>
        <w:rPr>
          <w:rFonts w:ascii="ＭＳ ゴシック" w:cs="ＭＳ ゴシック" w:eastAsia="ＭＳ ゴシック" w:hAnsi="ＭＳ ゴシック"/>
          <w:b/>
          <w:bCs/>
          <w:sz w:val="24"/>
          <w:szCs w:val="24"/>
        </w:rPr>
        <w:t xml:space="preserve">2. 現状と課題</w:t>
      </w:r>
    </w:p>
    <w:p>
      <w:pPr>
        <w:spacing w:after="100" w:line="290" w:lineRule="auto"/>
        <w:ind w:firstLine="210"/>
      </w:pPr>
      <w:r>
        <w:rPr>
          <w:rFonts w:ascii="ＭＳ 明朝" w:cs="ＭＳ 明朝" w:eastAsia="ＭＳ 明朝" w:hAnsi="ＭＳ 明朝"/>
          <w:sz w:val="21"/>
          <w:szCs w:val="21"/>
        </w:rPr>
        <w:t xml:space="preserve">現在、学内個人研究費を利用してClaude Code、Codex等のAIツールを導入し、研究資料の整理、データ処理、プログラム作成、分析作業等への活用を進めている。しかし、運用上、以下の課題が生じている。</w:t>
      </w:r>
    </w:p>
    <w:p>
      <w:pPr>
        <w:spacing w:after="70" w:before="170"/>
      </w:pPr>
      <w:r>
        <w:rPr>
          <w:rFonts w:ascii="ＭＳ ゴシック" w:cs="ＭＳ ゴシック" w:eastAsia="ＭＳ ゴシック" w:hAnsi="ＭＳ ゴシック"/>
          <w:b/>
          <w:bCs/>
          <w:sz w:val="21"/>
          <w:szCs w:val="21"/>
        </w:rPr>
        <w:t xml:space="preserve">(1) 処理能力が個々の研究用PCの環境に依存している</w:t>
      </w:r>
    </w:p>
    <w:p>
      <w:pPr>
        <w:spacing w:after="100" w:line="290" w:lineRule="auto"/>
        <w:ind w:firstLine="210"/>
      </w:pPr>
      <w:r>
        <w:rPr>
          <w:rFonts w:ascii="ＭＳ 明朝" w:cs="ＭＳ 明朝" w:eastAsia="ＭＳ 明朝" w:hAnsi="ＭＳ 明朝"/>
          <w:sz w:val="21"/>
          <w:szCs w:val="21"/>
        </w:rPr>
        <w:t xml:space="preserve">現在はAIツールを個々の研究用PC上で利用しているため、処理可能なデータ量や稼働時間が、各端末の保存容量・稼働状況に依存する。長時間を要する処理は、PCの起動状態やスリープ状態に左右され、継続的な実行が難しい。</w:t>
      </w:r>
    </w:p>
    <w:p>
      <w:pPr>
        <w:spacing w:after="70" w:before="170"/>
      </w:pPr>
      <w:r>
        <w:rPr>
          <w:rFonts w:ascii="ＭＳ ゴシック" w:cs="ＭＳ ゴシック" w:eastAsia="ＭＳ ゴシック" w:hAnsi="ＭＳ ゴシック"/>
          <w:b/>
          <w:bCs/>
          <w:sz w:val="21"/>
          <w:szCs w:val="21"/>
        </w:rPr>
        <w:t xml:space="preserve">(2) AIエージェントが継続的に参照できる研究データ領域が確保できない</w:t>
      </w:r>
    </w:p>
    <w:p>
      <w:pPr>
        <w:spacing w:after="100" w:line="290" w:lineRule="auto"/>
        <w:ind w:firstLine="210"/>
      </w:pPr>
      <w:r>
        <w:rPr>
          <w:rFonts w:ascii="ＭＳ 明朝" w:cs="ＭＳ 明朝" w:eastAsia="ＭＳ 明朝" w:hAnsi="ＭＳ 明朝"/>
          <w:sz w:val="21"/>
          <w:szCs w:val="21"/>
        </w:rPr>
        <w:t xml:space="preserve">研究資料がPC本体・外付けHDD・クラウドストレージ等に分散しているため、AIエージェントが一貫して参照できる研究データ領域を確保することが難しい。同一資料の複数版が各所に存在し、参照先の同定にも支障が生じている。</w:t>
      </w:r>
    </w:p>
    <w:p>
      <w:pPr>
        <w:spacing w:after="70" w:before="170"/>
      </w:pPr>
      <w:r>
        <w:rPr>
          <w:rFonts w:ascii="ＭＳ ゴシック" w:cs="ＭＳ ゴシック" w:eastAsia="ＭＳ ゴシック" w:hAnsi="ＭＳ ゴシック"/>
          <w:b/>
          <w:bCs/>
          <w:sz w:val="21"/>
          <w:szCs w:val="21"/>
        </w:rPr>
        <w:t xml:space="preserve">(3) 研究データの保全体制が個別端末任せになっている</w:t>
      </w:r>
    </w:p>
    <w:p>
      <w:pPr>
        <w:spacing w:after="100" w:line="290" w:lineRule="auto"/>
        <w:ind w:firstLine="210"/>
      </w:pPr>
      <w:r>
        <w:rPr>
          <w:rFonts w:ascii="ＭＳ 明朝" w:cs="ＭＳ 明朝" w:eastAsia="ＭＳ 明朝" w:hAnsi="ＭＳ 明朝"/>
          <w:sz w:val="21"/>
          <w:szCs w:val="21"/>
        </w:rPr>
        <w:t xml:space="preserve">現状では、研究データの複製・世代管理が各端末および各サービスに委ねられており、機器故障や誤操作に対する冗長性が確保されていない。</w:t>
      </w:r>
    </w:p>
    <w:p>
      <w:pPr>
        <w:pBdr>
          <w:bottom w:val="single" w:color="808080" w:sz="6" w:space="4"/>
        </w:pBdr>
        <w:spacing w:after="140" w:before="280"/>
      </w:pPr>
      <w:r>
        <w:rPr>
          <w:rFonts w:ascii="ＭＳ ゴシック" w:cs="ＭＳ ゴシック" w:eastAsia="ＭＳ ゴシック" w:hAnsi="ＭＳ ゴシック"/>
          <w:b/>
          <w:bCs/>
          <w:sz w:val="24"/>
          <w:szCs w:val="24"/>
        </w:rPr>
        <w:t xml:space="preserve">3. 導入により実現すること</w:t>
      </w:r>
    </w:p>
    <w:p>
      <w:pPr>
        <w:spacing w:after="100" w:line="290" w:lineRule="auto"/>
        <w:ind w:firstLine="210"/>
      </w:pPr>
      <w:r>
        <w:rPr>
          <w:rFonts w:ascii="ＭＳ 明朝" w:cs="ＭＳ 明朝" w:eastAsia="ＭＳ 明朝" w:hAnsi="ＭＳ 明朝"/>
          <w:sz w:val="21"/>
          <w:szCs w:val="21"/>
        </w:rPr>
        <w:t xml:space="preserve">NASに研究資料を体系的に集約するとともに、AIエージェントが継続的に参照・処理できる常時稼働型の環境を構築する。これにより、以下が実現される。</w:t>
      </w:r>
    </w:p>
    <w:p>
      <w:pPr>
        <w:spacing w:after="70" w:before="170"/>
      </w:pPr>
      <w:r>
        <w:rPr>
          <w:rFonts w:ascii="ＭＳ ゴシック" w:cs="ＭＳ ゴシック" w:eastAsia="ＭＳ ゴシック" w:hAnsi="ＭＳ ゴシック"/>
          <w:b/>
          <w:bCs/>
          <w:sz w:val="21"/>
          <w:szCs w:val="21"/>
        </w:rPr>
        <w:t xml:space="preserve">(1) AIツールの「その都度利用」から「継続的な研究支援環境」への発展</w:t>
      </w:r>
    </w:p>
    <w:p>
      <w:pPr>
        <w:spacing w:after="100" w:line="290" w:lineRule="auto"/>
        <w:ind w:firstLine="210"/>
      </w:pPr>
      <w:r>
        <w:rPr>
          <w:rFonts w:ascii="ＭＳ 明朝" w:cs="ＭＳ 明朝" w:eastAsia="ＭＳ 明朝" w:hAnsi="ＭＳ 明朝"/>
          <w:sz w:val="21"/>
          <w:szCs w:val="21"/>
        </w:rPr>
        <w:t xml:space="preserve">既に導入しているClaude Code、Codex等を、個々のPC上でその都度利用するツールから、蓄積された研究資料を継続的に整理・検索・処理する研究支援環境へと発展させることができる。具体的には、資料の分類・索引化、横断検索、定型的なデータ整形・集計処理等を、PCの稼働状況に依存せず継続的に実行できる。</w:t>
      </w:r>
    </w:p>
    <w:p>
      <w:pPr>
        <w:spacing w:after="70" w:before="170"/>
      </w:pPr>
      <w:r>
        <w:rPr>
          <w:rFonts w:ascii="ＭＳ ゴシック" w:cs="ＭＳ ゴシック" w:eastAsia="ＭＳ ゴシック" w:hAnsi="ＭＳ ゴシック"/>
          <w:b/>
          <w:bCs/>
          <w:sz w:val="21"/>
          <w:szCs w:val="21"/>
        </w:rPr>
        <w:t xml:space="preserve">(2) 研究データの参照先の一元化</w:t>
      </w:r>
    </w:p>
    <w:p>
      <w:pPr>
        <w:spacing w:after="100" w:line="290" w:lineRule="auto"/>
        <w:ind w:firstLine="210"/>
      </w:pPr>
      <w:r>
        <w:rPr>
          <w:rFonts w:ascii="ＭＳ 明朝" w:cs="ＭＳ 明朝" w:eastAsia="ＭＳ 明朝" w:hAnsi="ＭＳ 明朝"/>
          <w:sz w:val="21"/>
          <w:szCs w:val="21"/>
        </w:rPr>
        <w:t xml:space="preserve">分散していた研究資料を単一の保存領域に集約することで、AIツールおよび研究者自身がアクセスする参照先が一元化され、版の同定や資料探索に要する時間を削減できる。</w:t>
      </w:r>
    </w:p>
    <w:p>
      <w:pPr>
        <w:spacing w:after="70" w:before="170"/>
      </w:pPr>
      <w:r>
        <w:rPr>
          <w:rFonts w:ascii="ＭＳ ゴシック" w:cs="ＭＳ ゴシック" w:eastAsia="ＭＳ ゴシック" w:hAnsi="ＭＳ ゴシック"/>
          <w:b/>
          <w:bCs/>
          <w:sz w:val="21"/>
          <w:szCs w:val="21"/>
        </w:rPr>
        <w:t xml:space="preserve">(3) 処理内容に応じた外部サービスとローカル環境の使い分け</w:t>
      </w:r>
    </w:p>
    <w:p>
      <w:pPr>
        <w:spacing w:after="100" w:line="290" w:lineRule="auto"/>
        <w:ind w:firstLine="210"/>
      </w:pPr>
      <w:r>
        <w:rPr>
          <w:rFonts w:ascii="ＭＳ 明朝" w:cs="ＭＳ 明朝" w:eastAsia="ＭＳ 明朝" w:hAnsi="ＭＳ 明朝"/>
          <w:sz w:val="21"/>
          <w:szCs w:val="21"/>
        </w:rPr>
        <w:t xml:space="preserve">ローカルLLMを併用することで、用途や資料の性質に応じて、外部のAIサービスを利用する処理と、研究者の管理下にあるローカル環境内で完結させる処理を使い分けることが可能となる。外部送信が適切でない資料については、ネットワーク外部にデータを送出せずに処理を行うことができ、研究データの管理上も有益である。</w:t>
      </w:r>
    </w:p>
    <w:p>
      <w:pPr>
        <w:spacing w:after="70" w:before="170"/>
      </w:pPr>
      <w:r>
        <w:rPr>
          <w:rFonts w:ascii="ＭＳ ゴシック" w:cs="ＭＳ ゴシック" w:eastAsia="ＭＳ ゴシック" w:hAnsi="ＭＳ ゴシック"/>
          <w:b/>
          <w:bCs/>
          <w:sz w:val="21"/>
          <w:szCs w:val="21"/>
        </w:rPr>
        <w:t xml:space="preserve">(4) 研究データの保全</w:t>
      </w:r>
    </w:p>
    <w:p>
      <w:pPr>
        <w:spacing w:after="100" w:line="290" w:lineRule="auto"/>
        <w:ind w:firstLine="210"/>
      </w:pPr>
      <w:r>
        <w:rPr>
          <w:rFonts w:ascii="ＭＳ 明朝" w:cs="ＭＳ 明朝" w:eastAsia="ＭＳ 明朝" w:hAnsi="ＭＳ 明朝"/>
          <w:sz w:val="21"/>
          <w:szCs w:val="21"/>
        </w:rPr>
        <w:t xml:space="preserve">RAID構成による冗長化と定期的な世代バックアップにより、機器故障・誤削除に対する研究データの保全体制を確立する。</w:t>
      </w:r>
    </w:p>
    <w:p>
      <w:pPr>
        <w:pBdr>
          <w:bottom w:val="single" w:color="808080" w:sz="6" w:space="4"/>
        </w:pBdr>
        <w:spacing w:after="140" w:before="280"/>
      </w:pPr>
      <w:r>
        <w:rPr>
          <w:rFonts w:ascii="ＭＳ ゴシック" w:cs="ＭＳ ゴシック" w:eastAsia="ＭＳ ゴシック" w:hAnsi="ＭＳ ゴシック"/>
          <w:b/>
          <w:bCs/>
          <w:sz w:val="24"/>
          <w:szCs w:val="24"/>
        </w:rPr>
        <w:t xml:space="preserve">4. 本機種を選定した理由</w:t>
      </w:r>
    </w:p>
    <w:p>
      <w:pPr>
        <w:spacing w:after="140" w:line="290" w:lineRule="auto"/>
        <w:ind w:firstLine="210"/>
      </w:pPr>
      <w:r>
        <w:rPr>
          <w:rFonts w:ascii="ＭＳ 明朝" w:cs="ＭＳ 明朝" w:eastAsia="ＭＳ 明朝" w:hAnsi="ＭＳ 明朝"/>
          <w:sz w:val="21"/>
          <w:szCs w:val="21"/>
        </w:rPr>
        <w:t xml:space="preserve">本用途では、単なる保存容量の確保ではなく、</w:t>
      </w:r>
      <w:r>
        <w:rPr>
          <w:rFonts w:ascii="ＭＳ 明朝" w:cs="ＭＳ 明朝" w:eastAsia="ＭＳ 明朝" w:hAnsi="ＭＳ 明朝"/>
          <w:b/>
          <w:bCs/>
          <w:sz w:val="21"/>
          <w:szCs w:val="21"/>
        </w:rPr>
        <w:t xml:space="preserve">AI処理を継続的に実行できる計算能力・拡張性・転送速度を備えた常時稼働機</w:t>
      </w:r>
      <w:r>
        <w:rPr>
          <w:rFonts w:ascii="ＭＳ 明朝" w:cs="ＭＳ 明朝" w:eastAsia="ＭＳ 明朝" w:hAnsi="ＭＳ 明朝"/>
          <w:sz w:val="21"/>
          <w:szCs w:val="21"/>
        </w:rPr>
        <w:t xml:space="preserve">であることが要件となる。UGREEN NASync DXP4800 Plusは、以下の点でこれらの要件を満たす。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5138"/>
      </w:tblGrid>
      <w:tr>
        <w:trPr>
          <w:cantSplit/>
          <w:tblHeader/>
        </w:trPr>
        <w:tc>
          <w:tcPr>
            <w:tcW w:type="dxa" w:w="2100"/>
            <w:shd w:fill="EDEDED" w:color="auto" w:val="clear"/>
            <w:tcMar>
              <w:top w:type="dxa" w:w="60"/>
              <w:left w:type="dxa" w:w="108"/>
              <w:bottom w:type="dxa" w:w="60"/>
              <w:right w:type="dxa" w:w="108"/>
            </w:tcMar>
            <w:vAlign w:val="center"/>
          </w:tcPr>
          <w:p>
            <w:pPr>
              <w:spacing w:after="30" w:before="30" w:line="250" w:lineRule="auto"/>
              <w:jc w:val="center"/>
            </w:pPr>
            <w:r>
              <w:rPr>
                <w:rFonts w:ascii="ＭＳ ゴシック" w:cs="ＭＳ ゴシック" w:eastAsia="ＭＳ ゴシック" w:hAnsi="ＭＳ ゴシック"/>
                <w:b/>
                <w:bCs/>
                <w:sz w:val="19"/>
                <w:szCs w:val="19"/>
              </w:rPr>
              <w:t xml:space="preserve">要件</w:t>
            </w:r>
          </w:p>
        </w:tc>
        <w:tc>
          <w:tcPr>
            <w:tcW w:type="dxa" w:w="2400"/>
            <w:shd w:fill="EDEDED" w:color="auto" w:val="clear"/>
            <w:tcMar>
              <w:top w:type="dxa" w:w="60"/>
              <w:left w:type="dxa" w:w="108"/>
              <w:bottom w:type="dxa" w:w="60"/>
              <w:right w:type="dxa" w:w="108"/>
            </w:tcMar>
            <w:vAlign w:val="center"/>
          </w:tcPr>
          <w:p>
            <w:pPr>
              <w:spacing w:after="30" w:before="30" w:line="250" w:lineRule="auto"/>
              <w:jc w:val="center"/>
            </w:pPr>
            <w:r>
              <w:rPr>
                <w:rFonts w:ascii="ＭＳ ゴシック" w:cs="ＭＳ ゴシック" w:eastAsia="ＭＳ ゴシック" w:hAnsi="ＭＳ ゴシック"/>
                <w:b/>
                <w:bCs/>
                <w:sz w:val="19"/>
                <w:szCs w:val="19"/>
              </w:rPr>
              <w:t xml:space="preserve">本機種の仕様</w:t>
            </w:r>
          </w:p>
        </w:tc>
        <w:tc>
          <w:tcPr>
            <w:tcW w:type="dxa" w:w="5138"/>
            <w:shd w:fill="EDEDED" w:color="auto" w:val="clear"/>
            <w:tcMar>
              <w:top w:type="dxa" w:w="60"/>
              <w:left w:type="dxa" w:w="108"/>
              <w:bottom w:type="dxa" w:w="60"/>
              <w:right w:type="dxa" w:w="108"/>
            </w:tcMar>
            <w:vAlign w:val="center"/>
          </w:tcPr>
          <w:p>
            <w:pPr>
              <w:spacing w:after="30" w:before="30" w:line="250" w:lineRule="auto"/>
              <w:jc w:val="center"/>
            </w:pPr>
            <w:r>
              <w:rPr>
                <w:rFonts w:ascii="ＭＳ ゴシック" w:cs="ＭＳ ゴシック" w:eastAsia="ＭＳ ゴシック" w:hAnsi="ＭＳ ゴシック"/>
                <w:b/>
                <w:bCs/>
                <w:sz w:val="19"/>
                <w:szCs w:val="19"/>
              </w:rPr>
              <w:t xml:space="preserve">選定理由</w:t>
            </w:r>
          </w:p>
        </w:tc>
      </w:tr>
      <w:tr>
        <w:trPr>
          <w:cantSplit/>
        </w:trPr>
        <w:tc>
          <w:tcPr>
            <w:tcW w:type="dxa" w:w="21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AI処理・コンテナ実行に耐えるCPU</w:t>
            </w:r>
          </w:p>
        </w:tc>
        <w:tc>
          <w:tcPr>
            <w:tcW w:type="dxa" w:w="24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第12世代 Intel Pentium Gold 8505（5コア）</w:t>
            </w:r>
          </w:p>
        </w:tc>
        <w:tc>
          <w:tcPr>
            <w:tcW w:type="dxa" w:w="51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一般的な低性能NAS用SoCと異なり、x86系プロセッサを搭載しており、AIエージェントの常駐実行、コンテナ（Docker）による処理環境の構築、ローカルLLMの小規模モデル推論に対応できる。</w:t>
            </w:r>
          </w:p>
        </w:tc>
      </w:tr>
      <w:tr>
        <w:trPr>
          <w:cantSplit/>
        </w:trPr>
        <w:tc>
          <w:tcPr>
            <w:tcW w:type="dxa" w:w="21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大容量メモリへの拡張</w:t>
            </w:r>
          </w:p>
        </w:tc>
        <w:tc>
          <w:tcPr>
            <w:tcW w:type="dxa" w:w="24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DDR5 8GB搭載、最大64GBまで増設可能</w:t>
            </w:r>
          </w:p>
        </w:tc>
        <w:tc>
          <w:tcPr>
            <w:tcW w:type="dxa" w:w="51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ローカルLLMの実行および複数処理の並行実行にはメモリ容量が制約となるため、後日の増設余地があることが必須要件である。</w:t>
            </w:r>
          </w:p>
        </w:tc>
      </w:tr>
      <w:tr>
        <w:trPr>
          <w:cantSplit/>
        </w:trPr>
        <w:tc>
          <w:tcPr>
            <w:tcW w:type="dxa" w:w="21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高速なネットワーク転送</w:t>
            </w:r>
          </w:p>
        </w:tc>
        <w:tc>
          <w:tcPr>
            <w:tcW w:type="dxa" w:w="24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10ギガビットEthernet（10GbE）＋2.5GbE の2系統</w:t>
            </w:r>
          </w:p>
        </w:tc>
        <w:tc>
          <w:tcPr>
            <w:tcW w:type="dxa" w:w="51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大容量の研究データを研究用PCとNAS間でやり取りする際、通常の1GbE接続では転送が処理時間の律速となる。10GbE対応により、実質的にローカルディスクに近い速度で作業できる。</w:t>
            </w:r>
          </w:p>
        </w:tc>
      </w:tr>
      <w:tr>
        <w:trPr>
          <w:cantSplit/>
        </w:trPr>
        <w:tc>
          <w:tcPr>
            <w:tcW w:type="dxa" w:w="21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高速キャッシュ／作業領域</w:t>
            </w:r>
          </w:p>
        </w:tc>
        <w:tc>
          <w:tcPr>
            <w:tcW w:type="dxa" w:w="24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M.2 NVMe SSDスロット×2</w:t>
            </w:r>
          </w:p>
        </w:tc>
        <w:tc>
          <w:tcPr>
            <w:tcW w:type="dxa" w:w="51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AIによる索引化・検索処理では多数の小容量ファイルへの高速アクセスが必要となるため、HDDとは別にSSD領域を確保できることが有効である。</w:t>
            </w:r>
          </w:p>
        </w:tc>
      </w:tr>
      <w:tr>
        <w:trPr>
          <w:cantSplit/>
        </w:trPr>
        <w:tc>
          <w:tcPr>
            <w:tcW w:type="dxa" w:w="21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保存容量と冗長性</w:t>
            </w:r>
          </w:p>
        </w:tc>
        <w:tc>
          <w:tcPr>
            <w:tcW w:type="dxa" w:w="24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3.5インチドライブベイ×4、RAID構成に対応（最大96TB）</w:t>
            </w:r>
          </w:p>
        </w:tc>
        <w:tc>
          <w:tcPr>
            <w:tcW w:type="dxa" w:w="51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4ベイ構成によりRAID5等の冗長構成が組めるため、1台のドライブ故障時にも研究データを保全できる。2ベイ機ではミラーリングに限られ、容量効率が低い。</w:t>
            </w:r>
          </w:p>
        </w:tc>
      </w:tr>
      <w:tr>
        <w:trPr>
          <w:cantSplit/>
        </w:trPr>
        <w:tc>
          <w:tcPr>
            <w:tcW w:type="dxa" w:w="21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常時稼働に適した消費電力</w:t>
            </w:r>
          </w:p>
        </w:tc>
        <w:tc>
          <w:tcPr>
            <w:tcW w:type="dxa" w:w="24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低消費電力設計（24時間稼働を前提とした構成）</w:t>
            </w:r>
          </w:p>
        </w:tc>
        <w:tc>
          <w:tcPr>
            <w:tcW w:type="dxa" w:w="51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AIエージェントによる継続的な処理を行うため、常時稼働が前提となる。研究用PCを常時起動する運用と比較して、消費電力・機器寿命の面で合理的である。</w:t>
            </w:r>
          </w:p>
        </w:tc>
      </w:tr>
    </w:tbl>
    <w:p>
      <w:pPr>
        <w:spacing w:after="160"/>
      </w:pPr>
    </w:p>
    <w:p>
      <w:pPr>
        <w:spacing w:after="70" w:before="170"/>
      </w:pPr>
      <w:r>
        <w:rPr>
          <w:rFonts w:ascii="ＭＳ ゴシック" w:cs="ＭＳ ゴシック" w:eastAsia="ＭＳ ゴシック" w:hAnsi="ＭＳ ゴシック"/>
          <w:b/>
          <w:bCs/>
          <w:sz w:val="21"/>
          <w:szCs w:val="21"/>
        </w:rPr>
        <w:t xml:space="preserve">本機種の価格上の妥当性</w:t>
      </w:r>
    </w:p>
    <w:p>
      <w:pPr>
        <w:spacing w:after="100" w:line="290" w:lineRule="auto"/>
        <w:ind w:firstLine="210"/>
      </w:pPr>
      <w:r>
        <w:rPr>
          <w:rFonts w:ascii="ＭＳ 明朝" w:cs="ＭＳ 明朝" w:eastAsia="ＭＳ 明朝" w:hAnsi="ＭＳ 明朝"/>
          <w:sz w:val="21"/>
          <w:szCs w:val="21"/>
        </w:rPr>
        <w:t xml:space="preserve">同等仕様（x86系CPU・10GbE・4ベイ・メモリ増設可）の他社製NASは、本体のみで15万円〜20万円程度となる場合が多い。本申請の見積額は94,930円（税込）であり、</w:t>
      </w:r>
      <w:r>
        <w:rPr>
          <w:rFonts w:ascii="ＭＳ 明朝" w:cs="ＭＳ 明朝" w:eastAsia="ＭＳ 明朝" w:hAnsi="ＭＳ 明朝"/>
          <w:b/>
          <w:bCs/>
          <w:sz w:val="21"/>
          <w:szCs w:val="21"/>
        </w:rPr>
        <w:t xml:space="preserve">必要な仕様を満たす選択肢の中で最も低廉な部類に属する</w:t>
      </w:r>
      <w:r>
        <w:rPr>
          <w:rFonts w:ascii="ＭＳ 明朝" w:cs="ＭＳ 明朝" w:eastAsia="ＭＳ 明朝" w:hAnsi="ＭＳ 明朝"/>
          <w:sz w:val="21"/>
          <w:szCs w:val="21"/>
        </w:rPr>
        <w:t xml:space="preserve">。</w:t>
      </w:r>
    </w:p>
    <w:p>
      <w:pPr>
        <w:pBdr>
          <w:bottom w:val="single" w:color="808080" w:sz="6" w:space="4"/>
        </w:pBdr>
        <w:spacing w:after="140" w:before="280"/>
      </w:pPr>
      <w:r>
        <w:rPr>
          <w:rFonts w:ascii="ＭＳ ゴシック" w:cs="ＭＳ ゴシック" w:eastAsia="ＭＳ ゴシック" w:hAnsi="ＭＳ ゴシック"/>
          <w:b/>
          <w:bCs/>
          <w:sz w:val="24"/>
          <w:szCs w:val="24"/>
        </w:rPr>
        <w:t xml:space="preserve">5. 代替手段との比較検討</w:t>
      </w:r>
    </w:p>
    <w:p>
      <w:pPr>
        <w:spacing w:after="100" w:line="290" w:lineRule="auto"/>
        <w:ind w:firstLine="210"/>
      </w:pPr>
      <w:r>
        <w:rPr>
          <w:rFonts w:ascii="ＭＳ 明朝" w:cs="ＭＳ 明朝" w:eastAsia="ＭＳ 明朝" w:hAnsi="ＭＳ 明朝"/>
          <w:sz w:val="21"/>
          <w:szCs w:val="21"/>
        </w:rPr>
        <w:t xml:space="preserve">本申請に先立ち、以下の代替手段を検討したが、いずれも本研究用途の要件を満たさないため、NASの導入が必要と判断した。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shd w:fill="EDEDED" w:color="auto" w:val="clear"/>
            <w:tcMar>
              <w:top w:type="dxa" w:w="60"/>
              <w:left w:type="dxa" w:w="108"/>
              <w:bottom w:type="dxa" w:w="60"/>
              <w:right w:type="dxa" w:w="108"/>
            </w:tcMar>
            <w:vAlign w:val="center"/>
          </w:tcPr>
          <w:p>
            <w:pPr>
              <w:spacing w:after="30" w:before="30" w:line="250" w:lineRule="auto"/>
              <w:jc w:val="center"/>
            </w:pPr>
            <w:r>
              <w:rPr>
                <w:rFonts w:ascii="ＭＳ ゴシック" w:cs="ＭＳ ゴシック" w:eastAsia="ＭＳ ゴシック" w:hAnsi="ＭＳ ゴシック"/>
                <w:b/>
                <w:bCs/>
                <w:sz w:val="19"/>
                <w:szCs w:val="19"/>
              </w:rPr>
              <w:t xml:space="preserve">代替手段</w:t>
            </w:r>
          </w:p>
        </w:tc>
        <w:tc>
          <w:tcPr>
            <w:tcW w:type="dxa" w:w="7038"/>
            <w:shd w:fill="EDEDED" w:color="auto" w:val="clear"/>
            <w:tcMar>
              <w:top w:type="dxa" w:w="60"/>
              <w:left w:type="dxa" w:w="108"/>
              <w:bottom w:type="dxa" w:w="60"/>
              <w:right w:type="dxa" w:w="108"/>
            </w:tcMar>
            <w:vAlign w:val="center"/>
          </w:tcPr>
          <w:p>
            <w:pPr>
              <w:spacing w:after="30" w:before="30" w:line="250" w:lineRule="auto"/>
              <w:jc w:val="center"/>
            </w:pPr>
            <w:r>
              <w:rPr>
                <w:rFonts w:ascii="ＭＳ ゴシック" w:cs="ＭＳ ゴシック" w:eastAsia="ＭＳ ゴシック" w:hAnsi="ＭＳ ゴシック"/>
                <w:b/>
                <w:bCs/>
                <w:sz w:val="19"/>
                <w:szCs w:val="19"/>
              </w:rPr>
              <w:t xml:space="preserve">不採用の理由</w:t>
            </w:r>
          </w:p>
        </w:tc>
      </w:tr>
      <w:tr>
        <w:trPr>
          <w:cantSplit/>
        </w:trPr>
        <w:tc>
          <w:tcPr>
            <w:tcW w:type="dxa" w:w="26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外付けHDD／SSDの増設</w:t>
            </w:r>
          </w:p>
        </w:tc>
        <w:tc>
          <w:tcPr>
            <w:tcW w:type="dxa" w:w="70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PCに接続された端末に処理が依存するため、常時稼働型の処理環境を構築できない。複数端末からの同時参照、RAIDによる冗長化にも対応しない。</w:t>
            </w:r>
          </w:p>
        </w:tc>
      </w:tr>
      <w:tr>
        <w:trPr>
          <w:cantSplit/>
        </w:trPr>
        <w:tc>
          <w:tcPr>
            <w:tcW w:type="dxa" w:w="26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クラウドストレージの容量追加</w:t>
            </w:r>
          </w:p>
        </w:tc>
        <w:tc>
          <w:tcPr>
            <w:tcW w:type="dxa" w:w="70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AIエージェントが継続的にファイルシステムとして参照する用途には適さず、大容量データの反復的な読み書きで転送速度・API制限の制約を受ける。また、年額の継続費用が発生し、長期的には本機器の購入費を上回る。外部サービスであるため、外部送信が適切でない資料の取り扱いにも制約がある。</w:t>
            </w:r>
          </w:p>
        </w:tc>
      </w:tr>
      <w:tr>
        <w:trPr>
          <w:cantSplit/>
        </w:trPr>
        <w:tc>
          <w:tcPr>
            <w:tcW w:type="dxa" w:w="26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学内共用ストレージの利用</w:t>
            </w:r>
          </w:p>
        </w:tc>
        <w:tc>
          <w:tcPr>
            <w:tcW w:type="dxa" w:w="70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保存領域としては利用可能だが、利用者側で常駐プロセス（AIエージェント、コンテナ環境）を実行することができず、本申請の目的である「継続的な処理環境」を構築できない。</w:t>
            </w:r>
          </w:p>
        </w:tc>
      </w:tr>
      <w:tr>
        <w:trPr>
          <w:cantSplit/>
        </w:trPr>
        <w:tc>
          <w:tcPr>
            <w:tcW w:type="dxa" w:w="26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高性能な研究用PCの追加購入</w:t>
            </w:r>
          </w:p>
        </w:tc>
        <w:tc>
          <w:tcPr>
            <w:tcW w:type="dxa" w:w="70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常時稼働を前提とすると消費電力・設置スペースの面で不利であり、RAIDによるデータ保全機能も標準では備えない。同等の目的を達成するには本機器より高額となる。</w:t>
            </w:r>
          </w:p>
        </w:tc>
      </w:tr>
    </w:tbl>
    <w:p>
      <w:pPr>
        <w:pBdr>
          <w:bottom w:val="single" w:color="808080" w:sz="6" w:space="4"/>
        </w:pBdr>
        <w:spacing w:after="140" w:before="280"/>
      </w:pPr>
      <w:r>
        <w:rPr>
          <w:rFonts w:ascii="ＭＳ ゴシック" w:cs="ＭＳ ゴシック" w:eastAsia="ＭＳ ゴシック" w:hAnsi="ＭＳ ゴシック"/>
          <w:b/>
          <w:bCs/>
          <w:sz w:val="24"/>
          <w:szCs w:val="24"/>
        </w:rPr>
        <w:t xml:space="preserve">6. 研究費支出の妥当性</w:t>
      </w:r>
    </w:p>
    <w:p>
      <w:pPr>
        <w:spacing w:after="100" w:line="290" w:lineRule="auto"/>
        <w:ind w:left="210" w:hanging="210"/>
      </w:pPr>
      <w:r>
        <w:rPr>
          <w:rFonts w:ascii="ＭＳ 明朝" w:cs="ＭＳ 明朝" w:eastAsia="ＭＳ 明朝" w:hAnsi="ＭＳ 明朝"/>
          <w:sz w:val="21"/>
          <w:szCs w:val="21"/>
        </w:rPr>
        <w:t xml:space="preserve">(1) </w:t>
      </w:r>
      <w:r>
        <w:rPr>
          <w:rFonts w:ascii="ＭＳ ゴシック" w:cs="ＭＳ ゴシック" w:eastAsia="ＭＳ ゴシック" w:hAnsi="ＭＳ ゴシック"/>
          <w:b/>
          <w:bCs/>
          <w:sz w:val="21"/>
          <w:szCs w:val="21"/>
        </w:rPr>
        <w:t xml:space="preserve">既存投資の有効活用：</w:t>
      </w:r>
      <w:r>
        <w:rPr>
          <w:rFonts w:ascii="ＭＳ 明朝" w:cs="ＭＳ 明朝" w:eastAsia="ＭＳ 明朝" w:hAnsi="ＭＳ 明朝"/>
          <w:sz w:val="21"/>
          <w:szCs w:val="21"/>
        </w:rPr>
        <w:t xml:space="preserve">既に学内個人研究費で導入済みのAIツールの利用効率を高めるための基盤整備であり、追加投資に対する効果が既存資産に及ぶ。</w:t>
      </w:r>
    </w:p>
    <w:p>
      <w:pPr>
        <w:spacing w:after="100" w:line="290" w:lineRule="auto"/>
        <w:ind w:left="210" w:hanging="210"/>
      </w:pPr>
      <w:r>
        <w:rPr>
          <w:rFonts w:ascii="ＭＳ 明朝" w:cs="ＭＳ 明朝" w:eastAsia="ＭＳ 明朝" w:hAnsi="ＭＳ 明朝"/>
          <w:sz w:val="21"/>
          <w:szCs w:val="21"/>
        </w:rPr>
        <w:t xml:space="preserve">(2) </w:t>
      </w:r>
      <w:r>
        <w:rPr>
          <w:rFonts w:ascii="ＭＳ ゴシック" w:cs="ＭＳ ゴシック" w:eastAsia="ＭＳ ゴシック" w:hAnsi="ＭＳ ゴシック"/>
          <w:b/>
          <w:bCs/>
          <w:sz w:val="21"/>
          <w:szCs w:val="21"/>
        </w:rPr>
        <w:t xml:space="preserve">費用対効果：</w:t>
      </w:r>
      <w:r>
        <w:rPr>
          <w:rFonts w:ascii="ＭＳ 明朝" w:cs="ＭＳ 明朝" w:eastAsia="ＭＳ 明朝" w:hAnsi="ＭＳ 明朝"/>
          <w:sz w:val="21"/>
          <w:szCs w:val="21"/>
        </w:rPr>
        <w:t xml:space="preserve">資料整理・データ処理・集計作業等に要していた作業時間の削減が見込まれ、研究の実施時間を確保できる。クラウドストレージの継続課金と比較しても、複数年の使用を前提とすれば費用面で優位である。</w:t>
      </w:r>
    </w:p>
    <w:p>
      <w:pPr>
        <w:spacing w:after="100" w:line="290" w:lineRule="auto"/>
        <w:ind w:left="210" w:hanging="210"/>
      </w:pPr>
      <w:r>
        <w:rPr>
          <w:rFonts w:ascii="ＭＳ 明朝" w:cs="ＭＳ 明朝" w:eastAsia="ＭＳ 明朝" w:hAnsi="ＭＳ 明朝"/>
          <w:sz w:val="21"/>
          <w:szCs w:val="21"/>
        </w:rPr>
        <w:t xml:space="preserve">(3) </w:t>
      </w:r>
      <w:r>
        <w:rPr>
          <w:rFonts w:ascii="ＭＳ ゴシック" w:cs="ＭＳ ゴシック" w:eastAsia="ＭＳ ゴシック" w:hAnsi="ＭＳ ゴシック"/>
          <w:b/>
          <w:bCs/>
          <w:sz w:val="21"/>
          <w:szCs w:val="21"/>
        </w:rPr>
        <w:t xml:space="preserve">継続的な使用：</w:t>
      </w:r>
      <w:r>
        <w:rPr>
          <w:rFonts w:ascii="ＭＳ 明朝" w:cs="ＭＳ 明朝" w:eastAsia="ＭＳ 明朝" w:hAnsi="ＭＳ 明朝"/>
          <w:sz w:val="21"/>
          <w:szCs w:val="21"/>
        </w:rPr>
        <w:t xml:space="preserve">購入後は研究期間を通じて継続的に使用する設備であり、単年度の消耗的支出ではない。</w:t>
      </w:r>
    </w:p>
    <w:p>
      <w:pPr>
        <w:spacing w:after="100" w:line="290" w:lineRule="auto"/>
        <w:ind w:left="210" w:hanging="210"/>
      </w:pPr>
      <w:r>
        <w:rPr>
          <w:rFonts w:ascii="ＭＳ 明朝" w:cs="ＭＳ 明朝" w:eastAsia="ＭＳ 明朝" w:hAnsi="ＭＳ 明朝"/>
          <w:sz w:val="21"/>
          <w:szCs w:val="21"/>
        </w:rPr>
        <w:t xml:space="preserve">(4) </w:t>
      </w:r>
      <w:r>
        <w:rPr>
          <w:rFonts w:ascii="ＭＳ ゴシック" w:cs="ＭＳ ゴシック" w:eastAsia="ＭＳ ゴシック" w:hAnsi="ＭＳ ゴシック"/>
          <w:b/>
          <w:bCs/>
          <w:sz w:val="21"/>
          <w:szCs w:val="21"/>
        </w:rPr>
        <w:t xml:space="preserve">研究データの適正管理：</w:t>
      </w:r>
      <w:r>
        <w:rPr>
          <w:rFonts w:ascii="ＭＳ 明朝" w:cs="ＭＳ 明朝" w:eastAsia="ＭＳ 明朝" w:hAnsi="ＭＳ 明朝"/>
          <w:sz w:val="21"/>
          <w:szCs w:val="21"/>
        </w:rPr>
        <w:t xml:space="preserve">研究データの冗長化保存および外部送信の抑制により、研究データ管理上の要請にも資する。</w:t>
      </w:r>
    </w:p>
    <w:p>
      <w:pPr>
        <w:pBdr>
          <w:bottom w:val="single" w:color="808080" w:sz="6" w:space="4"/>
        </w:pBdr>
        <w:spacing w:after="140" w:before="280"/>
      </w:pPr>
      <w:r>
        <w:rPr>
          <w:rFonts w:ascii="ＭＳ ゴシック" w:cs="ＭＳ ゴシック" w:eastAsia="ＭＳ ゴシック" w:hAnsi="ＭＳ ゴシック"/>
          <w:b/>
          <w:bCs/>
          <w:sz w:val="24"/>
          <w:szCs w:val="24"/>
        </w:rPr>
        <w:t xml:space="preserve">7. 経費内訳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138"/>
        <w:gridCol w:w="900"/>
        <w:gridCol w:w="1850"/>
        <w:gridCol w:w="1850"/>
      </w:tblGrid>
      <w:tr>
        <w:trPr>
          <w:cantSplit/>
          <w:tblHeader/>
        </w:trPr>
        <w:tc>
          <w:tcPr>
            <w:tcW w:type="dxa" w:w="1900"/>
            <w:shd w:fill="EDEDED" w:color="auto" w:val="clear"/>
            <w:tcMar>
              <w:top w:type="dxa" w:w="60"/>
              <w:left w:type="dxa" w:w="108"/>
              <w:bottom w:type="dxa" w:w="60"/>
              <w:right w:type="dxa" w:w="108"/>
            </w:tcMar>
            <w:vAlign w:val="center"/>
          </w:tcPr>
          <w:p>
            <w:pPr>
              <w:spacing w:after="30" w:before="30" w:line="250" w:lineRule="auto"/>
              <w:jc w:val="center"/>
            </w:pPr>
            <w:r>
              <w:rPr>
                <w:rFonts w:ascii="ＭＳ ゴシック" w:cs="ＭＳ ゴシック" w:eastAsia="ＭＳ ゴシック" w:hAnsi="ＭＳ ゴシック"/>
                <w:b/>
                <w:bCs/>
                <w:sz w:val="19"/>
                <w:szCs w:val="19"/>
              </w:rPr>
              <w:t xml:space="preserve">品目</w:t>
            </w:r>
          </w:p>
        </w:tc>
        <w:tc>
          <w:tcPr>
            <w:tcW w:type="dxa" w:w="3138"/>
            <w:shd w:fill="EDEDED" w:color="auto" w:val="clear"/>
            <w:tcMar>
              <w:top w:type="dxa" w:w="60"/>
              <w:left w:type="dxa" w:w="108"/>
              <w:bottom w:type="dxa" w:w="60"/>
              <w:right w:type="dxa" w:w="108"/>
            </w:tcMar>
            <w:vAlign w:val="center"/>
          </w:tcPr>
          <w:p>
            <w:pPr>
              <w:spacing w:after="30" w:before="30" w:line="250" w:lineRule="auto"/>
              <w:jc w:val="center"/>
            </w:pPr>
            <w:r>
              <w:rPr>
                <w:rFonts w:ascii="ＭＳ ゴシック" w:cs="ＭＳ ゴシック" w:eastAsia="ＭＳ ゴシック" w:hAnsi="ＭＳ ゴシック"/>
                <w:b/>
                <w:bCs/>
                <w:sz w:val="19"/>
                <w:szCs w:val="19"/>
              </w:rPr>
              <w:t xml:space="preserve">仕様</w:t>
            </w:r>
          </w:p>
        </w:tc>
        <w:tc>
          <w:tcPr>
            <w:tcW w:type="dxa" w:w="900"/>
            <w:shd w:fill="EDEDED" w:color="auto" w:val="clear"/>
            <w:tcMar>
              <w:top w:type="dxa" w:w="60"/>
              <w:left w:type="dxa" w:w="108"/>
              <w:bottom w:type="dxa" w:w="60"/>
              <w:right w:type="dxa" w:w="108"/>
            </w:tcMar>
            <w:vAlign w:val="center"/>
          </w:tcPr>
          <w:p>
            <w:pPr>
              <w:spacing w:after="30" w:before="30" w:line="250" w:lineRule="auto"/>
              <w:jc w:val="center"/>
            </w:pPr>
            <w:r>
              <w:rPr>
                <w:rFonts w:ascii="ＭＳ ゴシック" w:cs="ＭＳ ゴシック" w:eastAsia="ＭＳ ゴシック" w:hAnsi="ＭＳ ゴシック"/>
                <w:b/>
                <w:bCs/>
                <w:sz w:val="19"/>
                <w:szCs w:val="19"/>
              </w:rPr>
              <w:t xml:space="preserve">数量</w:t>
            </w:r>
          </w:p>
        </w:tc>
        <w:tc>
          <w:tcPr>
            <w:tcW w:type="dxa" w:w="1850"/>
            <w:shd w:fill="EDEDED" w:color="auto" w:val="clear"/>
            <w:tcMar>
              <w:top w:type="dxa" w:w="60"/>
              <w:left w:type="dxa" w:w="108"/>
              <w:bottom w:type="dxa" w:w="60"/>
              <w:right w:type="dxa" w:w="108"/>
            </w:tcMar>
            <w:vAlign w:val="center"/>
          </w:tcPr>
          <w:p>
            <w:pPr>
              <w:spacing w:after="30" w:before="30" w:line="250" w:lineRule="auto"/>
              <w:jc w:val="center"/>
            </w:pPr>
            <w:r>
              <w:rPr>
                <w:rFonts w:ascii="ＭＳ ゴシック" w:cs="ＭＳ ゴシック" w:eastAsia="ＭＳ ゴシック" w:hAnsi="ＭＳ ゴシック"/>
                <w:b/>
                <w:bCs/>
                <w:sz w:val="19"/>
                <w:szCs w:val="19"/>
              </w:rPr>
              <w:t xml:space="preserve">単価</w:t>
            </w:r>
          </w:p>
        </w:tc>
        <w:tc>
          <w:tcPr>
            <w:tcW w:type="dxa" w:w="1850"/>
            <w:shd w:fill="EDEDED" w:color="auto" w:val="clear"/>
            <w:tcMar>
              <w:top w:type="dxa" w:w="60"/>
              <w:left w:type="dxa" w:w="108"/>
              <w:bottom w:type="dxa" w:w="60"/>
              <w:right w:type="dxa" w:w="108"/>
            </w:tcMar>
            <w:vAlign w:val="center"/>
          </w:tcPr>
          <w:p>
            <w:pPr>
              <w:spacing w:after="30" w:before="30" w:line="250" w:lineRule="auto"/>
              <w:jc w:val="center"/>
            </w:pPr>
            <w:r>
              <w:rPr>
                <w:rFonts w:ascii="ＭＳ ゴシック" w:cs="ＭＳ ゴシック" w:eastAsia="ＭＳ ゴシック" w:hAnsi="ＭＳ ゴシック"/>
                <w:b/>
                <w:bCs/>
                <w:sz w:val="19"/>
                <w:szCs w:val="19"/>
              </w:rPr>
              <w:t xml:space="preserve">金額</w:t>
            </w:r>
          </w:p>
        </w:tc>
      </w:tr>
      <w:tr>
        <w:trPr>
          <w:cantSplit/>
        </w:trPr>
        <w:tc>
          <w:tcPr>
            <w:tcW w:type="dxa" w:w="19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NAS本体</w:t>
            </w:r>
          </w:p>
        </w:tc>
        <w:tc>
          <w:tcPr>
            <w:tcW w:type="dxa" w:w="31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UGREEN NASync DXP4800 Plus（4ベイ・ディスクレスモデル、型番 DXP4800PLUS）</w:t>
            </w:r>
          </w:p>
        </w:tc>
        <w:tc>
          <w:tcPr>
            <w:tcW w:type="dxa" w:w="900"/>
            <w:tcMar>
              <w:top w:type="dxa" w:w="60"/>
              <w:left w:type="dxa" w:w="108"/>
              <w:bottom w:type="dxa" w:w="60"/>
              <w:right w:type="dxa" w:w="108"/>
            </w:tcMar>
            <w:vAlign w:val="center"/>
          </w:tcPr>
          <w:p>
            <w:pPr>
              <w:spacing w:after="30" w:before="30" w:line="250" w:lineRule="auto"/>
              <w:jc w:val="center"/>
            </w:pPr>
            <w:r>
              <w:rPr>
                <w:rFonts w:ascii="ＭＳ 明朝" w:cs="ＭＳ 明朝" w:eastAsia="ＭＳ 明朝" w:hAnsi="ＭＳ 明朝"/>
                <w:b w:val="false"/>
                <w:bCs w:val="false"/>
                <w:sz w:val="19"/>
                <w:szCs w:val="19"/>
              </w:rPr>
              <w:t xml:space="preserve">1台</w:t>
            </w:r>
          </w:p>
        </w:tc>
        <w:tc>
          <w:tcPr>
            <w:tcW w:type="dxa" w:w="1850"/>
            <w:tcMar>
              <w:top w:type="dxa" w:w="60"/>
              <w:left w:type="dxa" w:w="108"/>
              <w:bottom w:type="dxa" w:w="60"/>
              <w:right w:type="dxa" w:w="108"/>
            </w:tcMar>
            <w:vAlign w:val="center"/>
          </w:tcPr>
          <w:p>
            <w:pPr>
              <w:spacing w:after="30" w:before="30" w:line="250" w:lineRule="auto"/>
              <w:jc w:val="center"/>
            </w:pPr>
            <w:r>
              <w:rPr>
                <w:rFonts w:ascii="ＭＳ 明朝" w:cs="ＭＳ 明朝" w:eastAsia="ＭＳ 明朝" w:hAnsi="ＭＳ 明朝"/>
                <w:b w:val="false"/>
                <w:bCs w:val="false"/>
                <w:sz w:val="19"/>
                <w:szCs w:val="19"/>
              </w:rPr>
              <w:t xml:space="preserve">86,300円</w:t>
            </w:r>
          </w:p>
        </w:tc>
        <w:tc>
          <w:tcPr>
            <w:tcW w:type="dxa" w:w="1850"/>
            <w:tcMar>
              <w:top w:type="dxa" w:w="60"/>
              <w:left w:type="dxa" w:w="108"/>
              <w:bottom w:type="dxa" w:w="60"/>
              <w:right w:type="dxa" w:w="108"/>
            </w:tcMar>
            <w:vAlign w:val="center"/>
          </w:tcPr>
          <w:p>
            <w:pPr>
              <w:spacing w:after="30" w:before="30" w:line="250" w:lineRule="auto"/>
              <w:jc w:val="center"/>
            </w:pPr>
            <w:r>
              <w:rPr>
                <w:rFonts w:ascii="ＭＳ 明朝" w:cs="ＭＳ 明朝" w:eastAsia="ＭＳ 明朝" w:hAnsi="ＭＳ 明朝"/>
                <w:b w:val="false"/>
                <w:bCs w:val="false"/>
                <w:sz w:val="19"/>
                <w:szCs w:val="19"/>
              </w:rPr>
              <w:t xml:space="preserve">86,300円</w:t>
            </w:r>
          </w:p>
        </w:tc>
      </w:tr>
      <w:tr>
        <w:trPr>
          <w:cantSplit/>
        </w:trPr>
        <w:tc>
          <w:tcPr>
            <w:tcW w:type="dxa" w:w="1900"/>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消費税</w:t>
            </w:r>
          </w:p>
        </w:tc>
        <w:tc>
          <w:tcPr>
            <w:tcW w:type="dxa" w:w="31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10%</w:t>
            </w:r>
          </w:p>
        </w:tc>
        <w:tc>
          <w:tcPr>
            <w:tcW w:type="dxa" w:w="900"/>
            <w:tcMar>
              <w:top w:type="dxa" w:w="60"/>
              <w:left w:type="dxa" w:w="108"/>
              <w:bottom w:type="dxa" w:w="60"/>
              <w:right w:type="dxa" w:w="108"/>
            </w:tcMar>
            <w:vAlign w:val="center"/>
          </w:tcPr>
          <w:p>
            <w:pPr>
              <w:spacing w:after="30" w:before="30" w:line="250" w:lineRule="auto"/>
              <w:jc w:val="center"/>
            </w:pPr>
            <w:r>
              <w:rPr>
                <w:rFonts w:ascii="ＭＳ 明朝" w:cs="ＭＳ 明朝" w:eastAsia="ＭＳ 明朝" w:hAnsi="ＭＳ 明朝"/>
                <w:b w:val="false"/>
                <w:bCs w:val="false"/>
                <w:sz w:val="19"/>
                <w:szCs w:val="19"/>
              </w:rPr>
              <w:t xml:space="preserve">—</w:t>
            </w:r>
          </w:p>
        </w:tc>
        <w:tc>
          <w:tcPr>
            <w:tcW w:type="dxa" w:w="1850"/>
            <w:tcMar>
              <w:top w:type="dxa" w:w="60"/>
              <w:left w:type="dxa" w:w="108"/>
              <w:bottom w:type="dxa" w:w="60"/>
              <w:right w:type="dxa" w:w="108"/>
            </w:tcMar>
            <w:vAlign w:val="center"/>
          </w:tcPr>
          <w:p>
            <w:pPr>
              <w:spacing w:after="30" w:before="30" w:line="250" w:lineRule="auto"/>
              <w:jc w:val="center"/>
            </w:pPr>
            <w:r>
              <w:rPr>
                <w:rFonts w:ascii="ＭＳ 明朝" w:cs="ＭＳ 明朝" w:eastAsia="ＭＳ 明朝" w:hAnsi="ＭＳ 明朝"/>
                <w:b w:val="false"/>
                <w:bCs w:val="false"/>
                <w:sz w:val="19"/>
                <w:szCs w:val="19"/>
              </w:rPr>
              <w:t xml:space="preserve">—</w:t>
            </w:r>
          </w:p>
        </w:tc>
        <w:tc>
          <w:tcPr>
            <w:tcW w:type="dxa" w:w="1850"/>
            <w:tcMar>
              <w:top w:type="dxa" w:w="60"/>
              <w:left w:type="dxa" w:w="108"/>
              <w:bottom w:type="dxa" w:w="60"/>
              <w:right w:type="dxa" w:w="108"/>
            </w:tcMar>
            <w:vAlign w:val="center"/>
          </w:tcPr>
          <w:p>
            <w:pPr>
              <w:spacing w:after="30" w:before="30" w:line="250" w:lineRule="auto"/>
              <w:jc w:val="center"/>
            </w:pPr>
            <w:r>
              <w:rPr>
                <w:rFonts w:ascii="ＭＳ 明朝" w:cs="ＭＳ 明朝" w:eastAsia="ＭＳ 明朝" w:hAnsi="ＭＳ 明朝"/>
                <w:b w:val="false"/>
                <w:bCs w:val="false"/>
                <w:sz w:val="19"/>
                <w:szCs w:val="19"/>
              </w:rPr>
              <w:t xml:space="preserve">8,630円</w:t>
            </w:r>
          </w:p>
        </w:tc>
      </w:tr>
      <w:tr>
        <w:trPr>
          <w:cantSplit/>
        </w:trPr>
        <w:tc>
          <w:tcPr>
            <w:tcW w:type="dxa" w:w="19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bCs/>
                <w:sz w:val="19"/>
                <w:szCs w:val="19"/>
              </w:rPr>
              <w:t xml:space="preserve">合計（税込）</w:t>
            </w:r>
          </w:p>
        </w:tc>
        <w:tc>
          <w:tcPr>
            <w:tcW w:type="dxa" w:w="3138"/>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bCs/>
                <w:sz w:val="19"/>
                <w:szCs w:val="19"/>
              </w:rPr>
              <w:t xml:space="preserve">—</w:t>
            </w:r>
          </w:p>
        </w:tc>
        <w:tc>
          <w:tcPr>
            <w:tcW w:type="dxa" w:w="900"/>
            <w:shd w:fill="EDEDED" w:color="auto" w:val="clear"/>
            <w:tcMar>
              <w:top w:type="dxa" w:w="60"/>
              <w:left w:type="dxa" w:w="108"/>
              <w:bottom w:type="dxa" w:w="60"/>
              <w:right w:type="dxa" w:w="108"/>
            </w:tcMar>
            <w:vAlign w:val="center"/>
          </w:tcPr>
          <w:p>
            <w:pPr>
              <w:spacing w:after="30" w:before="30" w:line="250" w:lineRule="auto"/>
              <w:jc w:val="center"/>
            </w:pPr>
            <w:r>
              <w:rPr>
                <w:rFonts w:ascii="ＭＳ ゴシック" w:cs="ＭＳ ゴシック" w:eastAsia="ＭＳ ゴシック" w:hAnsi="ＭＳ ゴシック"/>
                <w:b/>
                <w:bCs/>
                <w:sz w:val="19"/>
                <w:szCs w:val="19"/>
              </w:rPr>
              <w:t xml:space="preserve">—</w:t>
            </w:r>
          </w:p>
        </w:tc>
        <w:tc>
          <w:tcPr>
            <w:tcW w:type="dxa" w:w="1850"/>
            <w:shd w:fill="EDEDED" w:color="auto" w:val="clear"/>
            <w:tcMar>
              <w:top w:type="dxa" w:w="60"/>
              <w:left w:type="dxa" w:w="108"/>
              <w:bottom w:type="dxa" w:w="60"/>
              <w:right w:type="dxa" w:w="108"/>
            </w:tcMar>
            <w:vAlign w:val="center"/>
          </w:tcPr>
          <w:p>
            <w:pPr>
              <w:spacing w:after="30" w:before="30" w:line="250" w:lineRule="auto"/>
              <w:jc w:val="center"/>
            </w:pPr>
            <w:r>
              <w:rPr>
                <w:rFonts w:ascii="ＭＳ ゴシック" w:cs="ＭＳ ゴシック" w:eastAsia="ＭＳ ゴシック" w:hAnsi="ＭＳ ゴシック"/>
                <w:b/>
                <w:bCs/>
                <w:sz w:val="19"/>
                <w:szCs w:val="19"/>
              </w:rPr>
              <w:t xml:space="preserve">—</w:t>
            </w:r>
          </w:p>
        </w:tc>
        <w:tc>
          <w:tcPr>
            <w:tcW w:type="dxa" w:w="1850"/>
            <w:shd w:fill="EDEDED" w:color="auto" w:val="clear"/>
            <w:tcMar>
              <w:top w:type="dxa" w:w="60"/>
              <w:left w:type="dxa" w:w="108"/>
              <w:bottom w:type="dxa" w:w="60"/>
              <w:right w:type="dxa" w:w="108"/>
            </w:tcMar>
            <w:vAlign w:val="center"/>
          </w:tcPr>
          <w:p>
            <w:pPr>
              <w:spacing w:after="30" w:before="30" w:line="250" w:lineRule="auto"/>
              <w:jc w:val="center"/>
            </w:pPr>
            <w:r>
              <w:rPr>
                <w:rFonts w:ascii="ＭＳ ゴシック" w:cs="ＭＳ ゴシック" w:eastAsia="ＭＳ ゴシック" w:hAnsi="ＭＳ ゴシック"/>
                <w:b/>
                <w:bCs/>
                <w:sz w:val="19"/>
                <w:szCs w:val="19"/>
              </w:rPr>
              <w:t xml:space="preserve">94,930円</w:t>
            </w:r>
          </w:p>
        </w:tc>
      </w:tr>
    </w:tbl>
    <w:p>
      <w:pPr>
        <w:spacing w:after="120"/>
      </w:pPr>
    </w:p>
    <w:p>
      <w:pPr>
        <w:spacing w:after="60" w:line="280" w:lineRule="auto"/>
        <w:ind w:left="210" w:hanging="210"/>
      </w:pPr>
      <w:r>
        <w:rPr>
          <w:rFonts w:ascii="ＭＳ 明朝" w:cs="ＭＳ 明朝" w:eastAsia="ＭＳ 明朝" w:hAnsi="ＭＳ 明朝"/>
          <w:sz w:val="19"/>
          <w:szCs w:val="19"/>
        </w:rPr>
        <w:t xml:space="preserve">※ 双葉工機株式会社 見積書第44602号（2026年8月25日付）による。</w:t>
      </w:r>
    </w:p>
    <w:p>
      <w:pPr>
        <w:spacing w:after="60" w:line="280" w:lineRule="auto"/>
        <w:ind w:left="210" w:hanging="210"/>
      </w:pPr>
      <w:r>
        <w:rPr>
          <w:rFonts w:ascii="ＭＳ 明朝" w:cs="ＭＳ 明朝" w:eastAsia="ＭＳ 明朝" w:hAnsi="ＭＳ 明朝"/>
          <w:sz w:val="19"/>
          <w:szCs w:val="19"/>
        </w:rPr>
        <w:t xml:space="preserve">※ 本申請は本体のみの購入であり、内蔵HDD／SSD等の記録媒体は本申請に含まない。記録媒体については既存の資産を用いて運用する。</w:t>
      </w:r>
    </w:p>
    <w:p>
      <w:pPr>
        <w:spacing w:after="60" w:line="280" w:lineRule="auto"/>
        <w:ind w:left="210" w:hanging="210"/>
      </w:pPr>
      <w:r>
        <w:rPr>
          <w:rFonts w:ascii="ＭＳ 明朝" w:cs="ＭＳ 明朝" w:eastAsia="ＭＳ 明朝" w:hAnsi="ＭＳ 明朝"/>
          <w:sz w:val="19"/>
          <w:szCs w:val="19"/>
        </w:rPr>
        <w:t xml:space="preserve">※ 納期は約1〜2週間。搬入・設置・調整費等は見積に含まれていない。</w:t>
      </w:r>
    </w:p>
    <w:p>
      <w:pPr>
        <w:pBdr>
          <w:bottom w:val="single" w:color="808080" w:sz="6" w:space="4"/>
        </w:pBdr>
        <w:spacing w:after="140" w:before="280"/>
      </w:pPr>
      <w:r>
        <w:rPr>
          <w:rFonts w:ascii="ＭＳ ゴシック" w:cs="ＭＳ ゴシック" w:eastAsia="ＭＳ ゴシック" w:hAnsi="ＭＳ ゴシック"/>
          <w:b/>
          <w:bCs/>
          <w:sz w:val="24"/>
          <w:szCs w:val="24"/>
        </w:rPr>
        <w:t xml:space="preserve">8. 設置・運用・管理計画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設置場所</w:t>
            </w:r>
          </w:p>
        </w:tc>
        <w:tc>
          <w:tcPr>
            <w:tcW w:type="dxa" w:w="74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研究室内（施錠管理下）</w:t>
            </w:r>
          </w:p>
        </w:tc>
      </w:tr>
      <w:tr>
        <w:trPr>
          <w:cantSplit/>
        </w:trPr>
        <w:tc>
          <w:tcPr>
            <w:tcW w:type="dxa" w:w="22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管理責任者</w:t>
            </w:r>
          </w:p>
        </w:tc>
        <w:tc>
          <w:tcPr>
            <w:tcW w:type="dxa" w:w="74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　</w:t>
            </w:r>
          </w:p>
        </w:tc>
      </w:tr>
      <w:tr>
        <w:trPr>
          <w:cantSplit/>
        </w:trPr>
        <w:tc>
          <w:tcPr>
            <w:tcW w:type="dxa" w:w="22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ネットワーク接続</w:t>
            </w:r>
          </w:p>
        </w:tc>
        <w:tc>
          <w:tcPr>
            <w:tcW w:type="dxa" w:w="74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学内ネットワークに接続し、外部からの直接アクセスは行わない設定とする。</w:t>
            </w:r>
          </w:p>
        </w:tc>
      </w:tr>
      <w:tr>
        <w:trPr>
          <w:cantSplit/>
        </w:trPr>
        <w:tc>
          <w:tcPr>
            <w:tcW w:type="dxa" w:w="22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アクセス制御</w:t>
            </w:r>
          </w:p>
        </w:tc>
        <w:tc>
          <w:tcPr>
            <w:tcW w:type="dxa" w:w="74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利用者アカウントおよびアクセス権限を設定し、研究データへのアクセスを管理する。</w:t>
            </w:r>
          </w:p>
        </w:tc>
      </w:tr>
      <w:tr>
        <w:trPr>
          <w:cantSplit/>
        </w:trPr>
        <w:tc>
          <w:tcPr>
            <w:tcW w:type="dxa" w:w="22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バックアップ</w:t>
            </w:r>
          </w:p>
        </w:tc>
        <w:tc>
          <w:tcPr>
            <w:tcW w:type="dxa" w:w="74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RAID構成による冗長化に加え、重要データについては別媒体への定期バックアップを行う。</w:t>
            </w:r>
          </w:p>
        </w:tc>
      </w:tr>
      <w:tr>
        <w:trPr>
          <w:cantSplit/>
        </w:trPr>
        <w:tc>
          <w:tcPr>
            <w:tcW w:type="dxa" w:w="22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データ管理</w:t>
            </w:r>
          </w:p>
        </w:tc>
        <w:tc>
          <w:tcPr>
            <w:tcW w:type="dxa" w:w="74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本学の研究データ管理および情報セキュリティに関する規程に従って運用する。個人情報を含む資料については、外部AIサービスへ送信せず、本機器内のローカル環境で処理する運用とする。</w:t>
            </w:r>
          </w:p>
        </w:tc>
      </w:tr>
      <w:tr>
        <w:trPr>
          <w:cantSplit/>
        </w:trPr>
        <w:tc>
          <w:tcPr>
            <w:tcW w:type="dxa" w:w="2200"/>
            <w:shd w:fill="EDEDED" w:color="auto" w:val="clear"/>
            <w:tcMar>
              <w:top w:type="dxa" w:w="60"/>
              <w:left w:type="dxa" w:w="108"/>
              <w:bottom w:type="dxa" w:w="60"/>
              <w:right w:type="dxa" w:w="108"/>
            </w:tcMar>
            <w:vAlign w:val="center"/>
          </w:tcPr>
          <w:p>
            <w:pPr>
              <w:spacing w:after="30" w:before="30" w:line="250" w:lineRule="auto"/>
              <w:jc w:val="left"/>
            </w:pPr>
            <w:r>
              <w:rPr>
                <w:rFonts w:ascii="ＭＳ ゴシック" w:cs="ＭＳ ゴシック" w:eastAsia="ＭＳ ゴシック" w:hAnsi="ＭＳ ゴシック"/>
                <w:b w:val="false"/>
                <w:bCs w:val="false"/>
                <w:sz w:val="19"/>
                <w:szCs w:val="19"/>
              </w:rPr>
              <w:t xml:space="preserve">使用期間</w:t>
            </w:r>
          </w:p>
        </w:tc>
        <w:tc>
          <w:tcPr>
            <w:tcW w:type="dxa" w:w="7438"/>
            <w:tcMar>
              <w:top w:type="dxa" w:w="60"/>
              <w:left w:type="dxa" w:w="108"/>
              <w:bottom w:type="dxa" w:w="60"/>
              <w:right w:type="dxa" w:w="108"/>
            </w:tcMar>
            <w:vAlign w:val="center"/>
          </w:tcPr>
          <w:p>
            <w:pPr>
              <w:spacing w:after="30" w:before="30" w:line="250" w:lineRule="auto"/>
              <w:jc w:val="left"/>
            </w:pPr>
            <w:r>
              <w:rPr>
                <w:rFonts w:ascii="ＭＳ 明朝" w:cs="ＭＳ 明朝" w:eastAsia="ＭＳ 明朝" w:hAnsi="ＭＳ 明朝"/>
                <w:b w:val="false"/>
                <w:bCs w:val="false"/>
                <w:sz w:val="19"/>
                <w:szCs w:val="19"/>
              </w:rPr>
              <w:t xml:space="preserve">導入後、研究期間を通じて継続使用する。</w:t>
            </w:r>
          </w:p>
        </w:tc>
      </w:tr>
    </w:tbl>
    <w:p>
      <w:pPr>
        <w:spacing w:after="160"/>
      </w:pPr>
    </w:p>
    <w:p>
      <w:pPr>
        <w:pBdr>
          <w:top w:val="single" w:color="808080" w:sz="6" w:space="8"/>
        </w:pBdr>
        <w:spacing w:before="200" w:line="290" w:lineRule="auto"/>
        <w:ind w:firstLine="210"/>
      </w:pPr>
      <w:r>
        <w:rPr>
          <w:rFonts w:ascii="ＭＳ 明朝" w:cs="ＭＳ 明朝" w:eastAsia="ＭＳ 明朝" w:hAnsi="ＭＳ 明朝"/>
          <w:sz w:val="21"/>
          <w:szCs w:val="21"/>
        </w:rPr>
        <w:t xml:space="preserve">以上のとおり、本機器の導入は、既に導入済みのAIツールと研究データを接続し、研究環境整備への既存投資を有効に活用するために必要な情報基盤整備であるため、購入を申請する。</w:t>
      </w:r>
    </w:p>
    <w:sectPr>
      <w:footerReference w:type="default" r:id="rId7"/>
      <w:pgSz w:w="11906" w:h="16838" w:orient="portrait"/>
      <w:pgMar w:top="1247"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ＭＳ 明朝" w:cs="ＭＳ 明朝" w:eastAsia="ＭＳ 明朝" w:hAnsi="ＭＳ 明朝"/>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pPr>
        <w:spacing w:line="29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2026-09-03T04:38:26.389Z</dcterms:created>
  <dcterms:modified xsi:type="dcterms:W3CDTF">2026-09-03T04:38:26.406Z</dcterms:modified>
</cp:coreProperties>
</file>

<file path=docProps/custom.xml><?xml version="1.0" encoding="utf-8"?>
<Properties xmlns="http://schemas.openxmlformats.org/officeDocument/2006/custom-properties" xmlns:vt="http://schemas.openxmlformats.org/officeDocument/2006/docPropsVTypes"/>
</file>