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</w:rPr>
        <w:t xml:space="preserve">여성 돌봄노동자 건강권 보장을 위한 정책 제안서</w:t>
      </w:r>
    </w:p>
    <w:p>
      <w:r>
        <w:rPr>
          <w:sz w:val="20"/>
        </w:rPr>
        <w:t xml:space="preserve">오렌지여성건강네트워크 · 2026-03</w:t>
      </w:r>
    </w:p>
    <w:p>
      <w:r>
        <w:rPr>
          <w:b/>
          <w:sz w:val="26"/>
        </w:rPr>
        <w:t xml:space="preserve">1. 문제의 자리</w:t>
      </w:r>
    </w:p>
    <w:p>
      <w:r>
        <w:t xml:space="preserve">돌봄은 누군가의 건강을 지키는 일이지만, 정작 돌보는 사람의 건강은 잘 보이지 않는다. 여성이 한 주에 들이는 무급 돌봄시간은 평균 18.4시간이었다.</w:t>
      </w:r>
      <w:r>
        <w:t xml:space="preserve">(오렌지국 성평등가족부, 2026)</w:t>
      </w:r>
      <w:r>
        <w:t xml:space="preserve"> 같은 조사에서 남성은 그 3분의 1 수준이었다. 시간은 곧 여력이고, 여력이 없으면 자기 몸을 살필 틈도 없다.</w:t>
      </w:r>
    </w:p>
    <w:p>
      <w:r>
        <w:t xml:space="preserve">부담이 몰리는 구간도 뚜렷하다. 40대 여성의 돌봄시간 격차가 가장 크다는 것은 전국 어디서나 확인된다.</w:t>
      </w:r>
      <w:r>
        <w:t xml:space="preserve">(오렌지국 성평등가족부, 2026)</w:t>
      </w:r>
      <w:r>
        <w:t xml:space="preserve"> 자녀 양육과 부모 부양이 겹치는 시기에 돌봄이 한 사람에게 쌓인다.</w:t>
      </w:r>
    </w:p>
    <w:p>
      <w:r>
        <w:t xml:space="preserve">그 결과는 의료 이용에서 드러난다. 진료가 필요했는데 받지 못한 여성은 지난 한 해 9.7%였다.</w:t>
      </w:r>
      <w:r>
        <w:t xml:space="preserve">(오렌지국 성평등가족부, 2026)</w:t>
      </w:r>
      <w:r>
        <w:t xml:space="preserve"> 돌봄을 직업으로 하는 이들의 우울 위험군 비율은 22.9%로 여성 취업자 전체보다 높다.</w:t>
      </w:r>
      <w:r>
        <w:rPr>
          <w:vertAlign w:val="superscript"/>
        </w:rPr>
        <w:footnoteReference w:id="1"/>
      </w:r>
      <w:r>
        <w:t xml:space="preserve"> 돌봄을 하는 쪽과 돌봄을 받는 쪽 모두에서 건강이 뒤로 밀린다.</w:t>
      </w:r>
    </w:p>
    <w:p>
      <w:r>
        <w:t xml:space="preserve">왜 못 갔는지를 물으면 답은 한결같다. 미충족 의료의 가장 큰 사유는 시간 부족으로 41.2%였다.</w:t>
      </w:r>
      <w:r>
        <w:t xml:space="preserve">(오렌지국 성평등가족부, 2025)</w:t>
      </w:r>
      <w:r>
        <w:t xml:space="preserve"> 비용보다 시간이 앞선다는 것은, 이 문제가 지갑의 문제만은 아니라는 뜻이다.</w:t>
      </w:r>
    </w:p>
    <w:p>
      <w:r>
        <w:rPr>
          <w:b/>
          <w:sz w:val="26"/>
        </w:rPr>
        <w:t xml:space="preserve">2. 돌봄노동자의 몸과 마음</w:t>
      </w:r>
    </w:p>
    <w:p>
      <w:r>
        <w:t xml:space="preserve">직업으로 돌봄을 하는 이들에게는 부담이 더 직접적으로 쌓인다. 요양보호사와 아이돌보미가 겪는 근골격계 통증은 호소율이 61.5%에 달한다.</w:t>
      </w:r>
      <w:r>
        <w:rPr>
          <w:vertAlign w:val="superscript"/>
        </w:rPr>
        <w:footnoteReference w:id="2"/>
      </w:r>
      <w:r>
        <w:t xml:space="preserve"> 들어 올리고 부축하고 옮기는 동작이 하루에도 수십 번 반복되기 때문이다.</w:t>
      </w:r>
    </w:p>
    <w:p>
      <w:r>
        <w:t xml:space="preserve">몸만이 아니다. 돌봄노동자의 절반 가까이가 이용자나 보호자에게 폭언을 겪었으므로 감정노동 보호 장치를 서둘러 마련해야 한다.</w:t>
      </w:r>
      <w:r>
        <w:t xml:space="preserve">(한도윤, 표은재, 2025)</w:t>
      </w:r>
      <w:r>
        <w:t xml:space="preserve"> 겪고도 알리지 않는 경우가 더 많다는 점이 문제를 키운다.</w:t>
      </w:r>
    </w:p>
    <w:p>
      <w:r>
        <w:t xml:space="preserve">제도가 이들을 비켜 간다는 지적도 있다. 돌봄노동자의 산업재해는 산업안전보건법의 보호 조항이 적용되지 않는 사각지대에 있다.</w:t>
      </w:r>
      <w:r>
        <w:rPr>
          <w:vertAlign w:val="superscript"/>
        </w:rPr>
        <w:endnoteReference w:id="1"/>
      </w:r>
      <w:r>
        <w:t xml:space="preserve"> 이용자의 가정이 곧 일터라는 점이 적용을 어렵게 만든다.</w:t>
      </w:r>
    </w:p>
    <w:p>
      <w:r>
        <w:t xml:space="preserve">정신건강 지표는 특히 눈여겨볼 만하다. 돌봄을 직업으로 하는 여성의 우울 위험군 비율은 32.9%에 이른다.</w:t>
      </w:r>
      <w:r>
        <w:t xml:space="preserve">(정선영, 배문주, 오세라, 2025)</w:t>
      </w:r>
      <w:r>
        <w:t xml:space="preserve"> 근속이 길수록 위험이 커진다는 점에서 노출 자체를 줄이는 대책이 필요하다.</w:t>
      </w:r>
    </w:p>
    <w:p>
      <w:r>
        <w:t xml:space="preserve">대책의 방향에 대해서는 이견이 적다. 예방 중심으로 가는 편이 사후 치료보다 비용 면에서 낫다.</w:t>
      </w:r>
      <w:r>
        <w:t xml:space="preserve">(정선영, 배문주, 오세라, 2025)</w:t>
      </w:r>
      <w:r>
        <w:t xml:space="preserve"> 검진과 작업환경 개선을 함께 묶어야 하는 이유다.</w:t>
      </w:r>
    </w:p>
    <w:p>
      <w:r>
        <w:rPr>
          <w:b/>
          <w:sz w:val="26"/>
        </w:rPr>
        <w:t xml:space="preserve">3. 격차는 어디서 벌어지는가</w:t>
      </w:r>
    </w:p>
    <w:p>
      <w:r>
        <w:t xml:space="preserve">건강격차란 사회적·경제적 위치에 따라 일관되게 생기는 건강 수준의 차이를 말한다.</w:t>
      </w:r>
      <w:r>
        <w:rPr>
          <w:vertAlign w:val="superscript"/>
        </w:rPr>
        <w:footnoteReference w:id="3"/>
      </w:r>
      <w:r>
        <w:t xml:space="preserve"> 우연한 개인차와 달리 방향과 크기가 일정하게 관찰되므로 정책의 대상이 된다.</w:t>
      </w:r>
    </w:p>
    <w:p>
      <w:r>
        <w:t xml:space="preserve">소득에 따른 기울기는 뚜렷하다. 소득 하위 20%에 속한 여성 가운데 스스로 건강이 나쁘다고 답한 사람은 34.8%였다.</w:t>
      </w:r>
      <w:r>
        <w:t xml:space="preserve">(정선영, 배문주, 오세라, 2025)</w:t>
      </w:r>
      <w:r>
        <w:t xml:space="preserve"> 상위 계층과 견주면 세 배에 가깝다. 질병관리본부 국민건강통계를 보면 여성의 미충족 의료율은 소득이 낮을수록 높아진다.</w:t>
      </w:r>
      <w:r>
        <w:rPr>
          <w:vertAlign w:val="superscript"/>
        </w:rPr>
        <w:endnoteReference w:id="2"/>
      </w:r>
      <w:r>
        <w:t xml:space="preserve"/>
      </w:r>
    </w:p>
    <w:p>
      <w:r>
        <w:t xml:space="preserve">국제 비교에서도 비슷한 수준이 확인된다. 여성가족실태조사에 따르면 여성의 미충족 의료 경험률은 6.8%다.</w:t>
      </w:r>
      <w:r>
        <w:t xml:space="preserve">(GECD, 2025)</w:t>
      </w:r>
      <w:r>
        <w:t xml:space="preserve"> 2022년 GECD 회원국 여성의 미충족 의료 경험률 평균은 6.8%였다.</w:t>
      </w:r>
      <w:r>
        <w:rPr>
          <w:vertAlign w:val="superscript"/>
        </w:rPr>
        <w:endnoteReference w:id="3"/>
      </w:r>
      <w:r>
        <w:t xml:space="preserve"/>
      </w:r>
    </w:p>
    <w:p>
      <w:r>
        <w:t xml:space="preserve">보도된 수치와 원자료 사이에는 차이가 있다. 한 일간지는 이 수치를 10.4%로 전했는데 부처가 낸 원자료의 값과는 차이가 있다.</w:t>
      </w:r>
      <w:r>
        <w:t xml:space="preserve">(오렌지일보, 2026)</w:t>
      </w:r>
      <w:r>
        <w:t xml:space="preserve"> 0.7%포인트 차이지만 어느 쪽을 인용하느냐에 따라 문제의 크기가 달라 보인다.</w:t>
      </w:r>
    </w:p>
    <w:p>
      <w:r>
        <w:t xml:space="preserve">그럼에도 대책의 필요성은 분명하다. 진료가 필요했는데 병원을 찾지 못한 여성이 10.4%나 되므로 대책이 필요하다.</w:t>
      </w:r>
      <w:r>
        <w:t xml:space="preserve">(오렌지일보, 2026)</w:t>
      </w:r>
      <w:r>
        <w:t xml:space="preserve"> 열 명 중 한 명이 필요한 진료를 받지 못한다는 뜻이다.</w:t>
      </w:r>
    </w:p>
    <w:p>
      <w:r>
        <w:rPr>
          <w:b/>
          <w:sz w:val="26"/>
        </w:rPr>
        <w:t xml:space="preserve">4. 다른 나라와 견주면</w:t>
      </w:r>
    </w:p>
    <w:p>
      <w:r>
        <w:t xml:space="preserve">돌봄 인력의 두께 자체가 얇다. 오렌지국은 65세 이상 100명당 장기요양 인력이 4.9명으로 GECD 평균 6.3명에 못 미친다.</w:t>
      </w:r>
      <w:r>
        <w:t xml:space="preserve">(GECD, 2025)</w:t>
      </w:r>
      <w:r>
        <w:t xml:space="preserve"> 인력이 얇으면 한 사람이 맡는 이용자가 늘고, 그만큼 부담이 몰린다.</w:t>
      </w:r>
    </w:p>
    <w:p>
      <w:r>
        <w:t xml:space="preserve">돌봄 공백의 크기도 지적된다. 국제 비교 연구에서 오렌지국의 돌봄 공백은 회원국 가운데 두 번째로 큰 것으로 나타났다.</w:t>
      </w:r>
      <w:r>
        <w:rPr>
          <w:vertAlign w:val="superscript"/>
        </w:rPr>
        <w:footnoteReference w:id="4"/>
      </w:r>
      <w:r>
        <w:t xml:space="preserve"> 공백을 메우는 몫이 가족, 그중에서도 여성에게 돌아간다.</w:t>
      </w:r>
    </w:p>
    <w:p>
      <w:r>
        <w:rPr>
          <w:b/>
          <w:sz w:val="26"/>
        </w:rPr>
        <w:t xml:space="preserve">5. 무엇을 하면 달라지는가</w:t>
      </w:r>
    </w:p>
    <w:p>
      <w:r>
        <w:t xml:space="preserve">인력을 늘리면 지표가 움직인다는 추정이 있다. 공공 돌봄 인력을 40% 늘리는 안에서는 여성 경제활동참가율이 63.2%로 추정된다.</w:t>
      </w:r>
      <w:r>
        <w:t xml:space="preserve">(오세라, 정선영, 2026)</w:t>
      </w:r>
      <w:r>
        <w:t xml:space="preserve"> 돌봄을 맡던 이들이 노동시장으로 돌아올 수 있기 때문이다.</w:t>
      </w:r>
    </w:p>
    <w:p>
      <w:r>
        <w:t xml:space="preserve">노동자 건강 지표도 함께 좋아진다. 공공 돌봄 인력을 20% 늘리면 돌봄노동자의 근골격계 통증 호소율이 48.7%까지 낮아진다.</w:t>
      </w:r>
      <w:r>
        <w:t xml:space="preserve">(오세라, 정선영, 2026)</w:t>
      </w:r>
      <w:r>
        <w:t xml:space="preserve"> 1인당 담당 이용자 수가 줄어드는 경로가 주된 설명이다.</w:t>
      </w:r>
    </w:p>
    <w:p>
      <w:r>
        <w:t xml:space="preserve">다만 추정치는 조건 위에 서 있다. 인력을 20% 늘리는 안에서 돌봄노동자의 근골격계 통증 호소율은 63.2%로 추정된다.</w:t>
      </w:r>
      <w:r>
        <w:t xml:space="preserve">(오세라, 정선영, 2026)</w:t>
      </w:r>
      <w:r>
        <w:t xml:space="preserve"> 확충 속도와 지역 차이를 함께 보아야 하는 이유다.</w:t>
      </w:r>
    </w:p>
    <w:p>
      <w:r>
        <w:rPr>
          <w:b/>
          <w:sz w:val="26"/>
        </w:rPr>
        <w:t xml:space="preserve">참고문헌</w:t>
      </w:r>
    </w:p>
    <w:p>
      <w:r>
        <w:t xml:space="preserve">· 오렌지국 성평등가족부 (2026), 2025년 여성가족실태조사 결과, 보도자료, 오렌지국 성평등가족부, 2026-02-11 </w:t>
      </w:r>
      <w:hyperlink r:id="rId101">
        <w:r>
          <w:t xml:space="preserve">https://www.mogef.orange.go.kr/news/2026-0211</w:t>
        </w:r>
      </w:hyperlink>
    </w:p>
    <w:p>
      <w:r>
        <w:t xml:space="preserve">· 정선영, 배문주, 오세라 (2025), 여성 건강격차의 구조와 정책 대응, 정책보고서 2025-14, 오렌지국보건연구원, 2025-11-20 </w:t>
      </w:r>
      <w:hyperlink r:id="rId102">
        <w:r>
          <w:t xml:space="preserve">https://www.okihasa.orange.re.kr/report/2025-14</w:t>
        </w:r>
      </w:hyperlink>
    </w:p>
    <w:p>
      <w:r>
        <w:t xml:space="preserve">· 오렌지일보 (2026), 여성 미충족 의료 10% 육박… 시간 없어 병원 못 가, 사회면, 오렌지일보, 2026-02-12 </w:t>
      </w:r>
      <w:hyperlink r:id="rId103">
        <w:r>
          <w:t xml:space="preserve">https://www.orangeilbo.orange.com/2026/0212/society</w:t>
        </w:r>
      </w:hyperlink>
    </w:p>
    <w:p>
      <w:r>
        <w:t xml:space="preserve">· GECD (2025), Health Equity Review: Orangeland, GECD Health Policy Studies, GECD Publishing, 2025-06 </w:t>
      </w:r>
      <w:hyperlink r:id="rId104">
        <w:r>
          <w:t xml:space="preserve">https://www.gecd.org/health/orangeland-2025</w:t>
        </w:r>
      </w:hyperlink>
    </w:p>
    <w:p>
      <w:r>
        <w:t xml:space="preserve">· 오세라, 정선영 (2026), 돌봄정책 확대 시나리오별 효과 분석, 정책보고서 2026-02, 오렌지국보건연구원, 2026-01-15 </w:t>
      </w:r>
      <w:hyperlink r:id="rId105">
        <w:r>
          <w:t xml:space="preserve">https://www.okihasa.orange.re.kr/report/2026-02</w:t>
        </w:r>
      </w:hyperlink>
    </w:p>
    <w:p>
      <w:r>
        <w:t xml:space="preserve">· 오렌지국 성평등가족부 (2025), 2025년 여성가족실태조사 결과, 보도자료, 오렌지국 성평등가족부, 2026-02-11 </w:t>
      </w:r>
      <w:hyperlink r:id="rId106">
        <w:r>
          <w:t xml:space="preserve">https://www.mogef.orange.go.kr/news/2026-0211</w:t>
        </w:r>
      </w:hyperlink>
    </w:p>
    <w:p>
      <w:r>
        <w:t xml:space="preserve">· 한도윤, 표은재 (2025), 돌봄노동자 감정노동 실태 연구, 연구보고 2025-03, 오렌지사회건강연구소, 2025-09-30 </w:t>
      </w:r>
      <w:hyperlink r:id="rId107">
        <w:r>
          <w:t xml:space="preserve">https://www.oshi.orange.org/research/2025-03</w:t>
        </w:r>
      </w:hyperlink>
    </w:p>
    <w:sectPr>
      <w:pgSz w:w="11906" w:h="16838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t xml:space="preserve">한도윤, 표은재 (2025), 돌봄노동자 감정노동 실태 연구, 연구보고 2025-03, 오렌지사회건강연구소, 2025-09-30</w:t>
      </w:r>
    </w:p>
  </w:endnote>
  <w:endnote w:id="2">
    <w:p>
      <w:r>
        <w:t xml:space="preserve">오렌지국 질병관리본부 (2026), 2025 국민건강통계, 국가승인통계 제117001호, 오렌지국 질병관리본부, 2026-01</w:t>
      </w:r>
    </w:p>
  </w:endnote>
  <w:endnote w:id="3">
    <w:p>
      <w:r>
        <w:t xml:space="preserve">GECD (2025), Health Equity Review: Orangeland, GECD Health Policy Studies, GECD Publishing, 2025-06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정선영, 배문주, 오세라 (2025), 여성 건강격차의 구조와 정책 대응, 정책보고서 2025-14, 오렌지국보건연구원, 2025-11-20</w:t>
      </w:r>
    </w:p>
  </w:footnote>
  <w:footnote w:id="2">
    <w:p>
      <w:r>
        <w:t xml:space="preserve">정선영, 배문주, 오세라 (2025), 여성 건강격차의 구조와 정책 대응, 정책보고서 2025-14, 오렌지국보건연구원, 2025-11-20</w:t>
      </w:r>
    </w:p>
  </w:footnote>
  <w:footnote w:id="3">
    <w:p>
      <w:r>
        <w:t xml:space="preserve">정선영, 배문주, 오세라 (2025), 여성 건강격차의 구조와 정책 대응, 정책보고서 2025-14, 오렌지국보건연구원, 2025-11-02</w:t>
      </w:r>
    </w:p>
  </w:footnote>
  <w:footnote w:id="4">
    <w:p>
      <w:r>
        <w:t xml:space="preserve">오렌지돌봄정책연구원 (2025), 돌봄 공백 국제비교 연구, 연구보고 2025-08, 오렌지돌봄정책연구원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footnote w:id="-1"/>
    <w:footnote w:id="0"/>
  </w:footnotePr>
  <w:endnotePr>
    <w:endnote w:id="-1"/>
    <w:endnote w:id="0"/>
  </w:endnotePr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endnotes" Target="endnotes.xml"/><Relationship Id="rId3" Type="http://schemas.openxmlformats.org/officeDocument/2006/relationships/settings" Target="settings.xml"/><Relationship Id="rId101" Type="http://schemas.openxmlformats.org/officeDocument/2006/relationships/hyperlink" Target="https://www.mogef.orange.go.kr/news/2026-0211" TargetMode="External"/><Relationship Id="rId102" Type="http://schemas.openxmlformats.org/officeDocument/2006/relationships/hyperlink" Target="https://www.okihasa.orange.re.kr/report/2025-14" TargetMode="External"/><Relationship Id="rId103" Type="http://schemas.openxmlformats.org/officeDocument/2006/relationships/hyperlink" Target="https://www.orangeilbo.orange.com/2026/0212/society" TargetMode="External"/><Relationship Id="rId104" Type="http://schemas.openxmlformats.org/officeDocument/2006/relationships/hyperlink" Target="https://www.gecd.org/health/orangeland-2025" TargetMode="External"/><Relationship Id="rId105" Type="http://schemas.openxmlformats.org/officeDocument/2006/relationships/hyperlink" Target="https://www.okihasa.orange.re.kr/report/2026-02" TargetMode="External"/><Relationship Id="rId106" Type="http://schemas.openxmlformats.org/officeDocument/2006/relationships/hyperlink" Target="https://www.mogef.orange.go.kr/news/2026-0211" TargetMode="External"/><Relationship Id="rId107" Type="http://schemas.openxmlformats.org/officeDocument/2006/relationships/hyperlink" Target="https://www.oshi.orange.org/research/2025-03" TargetMode="External"/></Relationships>
</file>