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rPr>
          <w:b/>
          <w:sz w:val="32"/>
        </w:rPr>
        <w:t xml:space="preserve">아동·한부모가족 돌봄정책 개선 제안서</w:t>
      </w:r>
    </w:p>
    <w:p>
      <w:r>
        <w:rPr>
          <w:sz w:val="20"/>
        </w:rPr>
        <w:t xml:space="preserve">오렌지시민연대 정책팀 · 2025-06</w:t>
      </w:r>
    </w:p>
    <w:p>
      <w:r>
        <w:rPr>
          <w:b/>
          <w:sz w:val="26"/>
        </w:rPr>
        <w:t xml:space="preserve">1. 문제 제기 — 평균은 아이를 보호하지 않는다</w:t>
      </w:r>
    </w:p>
    <w:p>
      <w:r>
        <w:t xml:space="preserve">국제 비교 지표만 놓고 보면 오렌지국의 아동 빈곤은 심각한 축에 들지 않는다. 2022년 오렌지국의 아동 소득빈곤율은 9.8%로 GECD 평균(12.6%)을 밑돌았다.</w:t>
      </w:r>
      <w:r>
        <w:t xml:space="preserve">(GECD, 2024)</w:t>
      </w:r>
      <w:r>
        <w:t xml:space="preserve"> 이 숫자는 지난 10년간 우리 사회가 아동수당과 급식 지원을 확대해 온 결과이기도 하다. 그러나 평균값 하나로 아동의 삶을 요약하는 순간, 정책은 가장 도움이 필요한 아이들을 시야에서 놓치게 된다.</w:t>
      </w:r>
    </w:p>
    <w:p>
      <w:r>
        <w:t xml:space="preserve">가구 형태를 기준으로 나누어 보면 그림은 완전히 달라진다. 오렌지국 한부모 가구 아동의 빈곤율은 31.9%로 양부모 가구 아동(9.4%)의 세 배를 넘는다.</w:t>
      </w:r>
      <w:r>
        <w:t xml:space="preserve">(GECD, 2024)</w:t>
      </w:r>
      <w:r>
        <w:t xml:space="preserve"> 같은 나라, 같은 시기에 태어난 아이들 사이에 세 배의 격차가 존재한다면, 그것은 개별 가정의 사정이 아니라 제도가 설계된 방식의 문제다. 우리는 이 격차를 '평균의 착시'라고 부른다.</w:t>
      </w:r>
    </w:p>
    <w:p>
      <w:r>
        <w:t xml:space="preserve">빈곤율이라는 지표 자체가 무엇을 재는지도 함께 짚어 둘 필요가 있다. 여기서 빈곤율은 세금과 이전소득을 반영한 가구 처분가능소득을 기준으로, 중위소득 50% 선을 적용해 계산한 값이다.</w:t>
      </w:r>
      <w:r>
        <w:rPr>
          <w:vertAlign w:val="superscript"/>
        </w:rPr>
        <w:endnoteReference w:id="1"/>
      </w:r>
      <w:r>
        <w:t xml:space="preserve"> 즉 이 지표는 자산이나 부채를 반영하지 않으며, 소득이 기준선을 조금 넘어선 가구의 실질적 어려움도 잡아내지 못한다. 기준선 바로 위에 걸쳐 있는 가구까지 포함하면 실제 위험군은 훨씬 넓어진다.</w:t>
      </w:r>
    </w:p>
    <w:p>
      <w:r>
        <w:rPr>
          <w:b/>
          <w:sz w:val="26"/>
        </w:rPr>
        <w:t xml:space="preserve">2. 가난은 아이의 몸에 먼저 새겨진다</w:t>
      </w:r>
    </w:p>
    <w:p>
      <w:r>
        <w:t xml:space="preserve">소득 격차가 건강 격차로 번역되는 과정은 성인기보다 아동기에 훨씬 선명하게 관찰된다. 가장 가난한 집 아이의 영구치 충치 경험률(42.7%)은 가장 여유 있는 집 아이(24.9%)의 1.7배다.</w:t>
      </w:r>
      <w:r>
        <w:t xml:space="preserve">(김세라·정민우, 2023)</w:t>
      </w:r>
      <w:r>
        <w:t xml:space="preserve"> 충치는 통증과 결식, 집중력 저하로 이어지고, 치료 시기를 놓치면 영구적인 손상을 남긴다. 성인의 만성질환이 수십 년에 걸쳐 축적되는 것과 달리, 아동의 구강건강은 몇 년 안에 되돌릴 수 없는 격차로 굳는다.</w:t>
      </w:r>
    </w:p>
    <w:p>
      <w:r>
        <w:t xml:space="preserve">같은 연구는 잇몸 건강에서도 유사한 기울기를 보고한다. 소득 1분위 아동의 치주질환 유병률은 18.9%로 소득 계층 가운데 가장 높았다.</w:t>
      </w:r>
      <w:r>
        <w:t xml:space="preserve">(김세라·정민우, 2023)</w:t>
      </w:r>
      <w:r>
        <w:t xml:space="preserve"> 치아와 잇몸은 정기적인 검진과 꾸준한 관리가 결과를 좌우하는 영역이어서, 보호자의 시간과 비용 여력이 그대로 드러난다. 더 우려스러운 것은 이 격차가 구강에만 머물지 않는다는 점이다. 구강건강이 나쁜 아동은 학업성취도 역시 유의하게 낮았다.</w:t>
      </w:r>
      <w:r>
        <w:t xml:space="preserve">(김세라·정민우, 2023)</w:t>
      </w:r>
      <w:r>
        <w:t xml:space="preserve"> 아픈 몸으로 앉아 있는 교실에서 학습의 기회균등을 말하기는 어렵다.</w:t>
      </w:r>
    </w:p>
    <w:p>
      <w:r>
        <w:t xml:space="preserve">식생활 지표는 이 격차가 매일의 일상에서 어떻게 재생산되는지를 보여준다. 6~18세 아동·청소년의 27.4%는 일주일에 한 번 이상 패스트푸드를 먹는다.</w:t>
      </w:r>
      <w:r>
        <w:t xml:space="preserve">(오렌지국 보건통계청, 2024)</w:t>
      </w:r>
      <w:r>
        <w:t xml:space="preserve"> 그리고 하루의 시작부터 이미 차이가 벌어져 있다. 2018년 아동·청소년의 아침 결식률은 34.6%였다.</w:t>
      </w:r>
      <w:r>
        <w:t xml:space="preserve">(오렌지국 보건통계청, 2024)</w:t>
      </w:r>
      <w:r>
        <w:t xml:space="preserve"> 아침을 거르는 아이에게 학교 급식은 그날의 첫 끼이자 사실상 유일하게 균형 잡힌 식사가 된다.</w:t>
      </w:r>
    </w:p>
    <w:p>
      <w:r>
        <w:t xml:space="preserve">이런 격차를 성인기 지표와 나란히 놓고 보면 문제의 시간 구조가 드러난다. 2023년 오렌지국 성인 비만 유병률은 남성 45.6%, 여성 27.8%로 집계됐다.</w:t>
      </w:r>
      <w:r>
        <w:t xml:space="preserve">(오렌지국 보건통계청, 2024)</w:t>
      </w:r>
      <w:r>
        <w:t xml:space="preserve"> 아동기의 식생활과 건강관리 격차는 성인기 만성질환 격차의 예고편에 가깝다. 아동기에 개입하지 않으면 같은 격차를 훨씬 비싼 값에 성인 의료비로 치르게 된다.</w:t>
      </w:r>
    </w:p>
    <w:p>
      <w:r>
        <w:t xml:space="preserve">연구의 범위를 정확히 밝혀 둔다. 이 연구가 분석한 아이들은 6~11세 2,412명이다.</w:t>
      </w:r>
      <w:r>
        <w:rPr>
          <w:vertAlign w:val="superscript"/>
        </w:rPr>
        <w:footnoteReference w:id="1"/>
      </w:r>
      <w:r>
        <w:t xml:space="preserve"> 표본 규모와 연령대가 제한적인 만큼, 여기서 확인된 기울기를 청소년기 전체로 확대 해석하는 것은 삼가야 한다.</w:t>
      </w:r>
    </w:p>
    <w:p>
      <w:r>
        <w:rPr>
          <w:b/>
          <w:sz w:val="26"/>
        </w:rPr>
        <w:t xml:space="preserve">3. 한부모가족 — 소득과 양육비의 이중 공백</w:t>
      </w:r>
    </w:p>
    <w:p>
      <w:r>
        <w:t xml:space="preserve">아동 빈곤의 상당 부분은 한부모가족의 소득 문제로 수렴한다. 한부모가족이 한 달에 손에 쥐는 돈은 268.5만원 남짓으로, 전체 가구 평균의 60%에도 미치지 못한다.</w:t>
      </w:r>
      <w:r>
        <w:t xml:space="preserve">(오렌지국 가족평등부, 2025)</w:t>
      </w:r>
      <w:r>
        <w:t xml:space="preserve"> 문제는 이 격차가 일하지 않아서 생긴 것이 아니라는 점이다. 국민건강영양조사에 따르면 한부모가족 가구주의 취업률은 74.3%다.</w:t>
      </w:r>
      <w:r>
        <w:t xml:space="preserve">(오렌지국 가족평등부, 2025)</w:t>
      </w:r>
      <w:r>
        <w:t xml:space="preserve"> 일하는 데도 가난한 상태, 즉 근로빈곤이 한부모가족의 전형적인 모습이다.</w:t>
      </w:r>
    </w:p>
    <w:p>
      <w:r>
        <w:t xml:space="preserve">소득 공백을 메워야 할 양육비 제도는 사실상 작동하지 않고 있다. 저소득 한부모 여성 가구의 72.1%는 양육비를 단 한 번도 받아 본 적이 없다.</w:t>
      </w:r>
      <w:r>
        <w:t xml:space="preserve">(오렌지국 가족평등부, 2025)</w:t>
      </w:r>
      <w:r>
        <w:t xml:space="preserve"> 제도가 존재한다는 사실과 제도가 도달한다는 사실은 전혀 다른 이야기다. 이행 강제 수단이 실효를 갖지 못하는 한, 양육비는 권리가 아니라 상대방의 선의에 달린 문제로 남는다.</w:t>
      </w:r>
    </w:p>
    <w:p>
      <w:r>
        <w:t xml:space="preserve">고정지출 가운데 가장 무겁게 누르는 것은 주거비다. 한부모가족의 주거비 부담률은 소득의 31.4%에 이른다.</w:t>
      </w:r>
      <w:r>
        <w:rPr>
          <w:vertAlign w:val="superscript"/>
        </w:rPr>
        <w:footnoteReference w:id="2"/>
      </w:r>
      <w:r>
        <w:t xml:space="preserve"> 소득의 3분의 1에 육박하는 주거비는 교육비와 의료비를 밀어내며, 결국 아이에게 쓸 수 있는 몫을 가장 먼저 줄인다.</w:t>
      </w:r>
    </w:p>
    <w:p>
      <w:r>
        <w:rPr>
          <w:b/>
          <w:sz w:val="26"/>
        </w:rPr>
        <w:t xml:space="preserve">4. 돌봄 인프라 — 지역아동센터가 감당하는 것</w:t>
      </w:r>
    </w:p>
    <w:p>
      <w:r>
        <w:t xml:space="preserve">소득과 양육비의 공백을 현장에서 실제로 메우고 있는 것은 지역아동센터다. 전국의 지역아동센터는 4,208곳, 이곳을 다니는 아동은 10만 5,340명이다.</w:t>
      </w:r>
      <w:r>
        <w:t xml:space="preserve">(오렌지사회정책연구원, 2023)</w:t>
      </w:r>
      <w:r>
        <w:t xml:space="preserve"> 전국의 초등학생 스무 명 중 한 명 남짓이 이곳을 거친다는 뜻이며, 방과 후 시간대의 공적 돌봄으로는 사실상 가장 큰 그물이다.</w:t>
      </w:r>
    </w:p>
    <w:p>
      <w:r>
        <w:t xml:space="preserve">이 그물을 지탱하는 인력의 조건은 그러나 매우 취약하다. 종사자 한 사람이 감당하는 아동은 평균 21.4명에 이른다.</w:t>
      </w:r>
      <w:r>
        <w:t xml:space="preserve">(오렌지사회정책연구원, 2023)</w:t>
      </w:r>
      <w:r>
        <w:t xml:space="preserve"> 학습 지도와 급식, 상담과 행정을 한 사람이 동시에 감당하는 구조에서는 아이 한 명에게 돌아가는 시간이 산술적으로 줄어들 수밖에 없다. 센터 한 곳이 맡는 아동은 평균 25명을 넘는다.</w:t>
      </w:r>
      <w:r>
        <w:t xml:space="preserve">(오렌지일보 사회부, 2024)</w:t>
      </w:r>
      <w:r>
        <w:t xml:space="preserve"> 센터 단위로 보면 부담은 더 커진다.</w:t>
      </w:r>
    </w:p>
    <w:p>
      <w:r>
        <w:t xml:space="preserve">센터를 찾는 아이들의 구성은 이 기관이 사실상 빈곤 대응 기관임을 보여준다. 2019년 기준 센터 이용 아동의 43.6%가 수급·차상위 가구 아동이었다.</w:t>
      </w:r>
      <w:r>
        <w:t xml:space="preserve">(오렌지사회정책연구원, 2023)</w:t>
      </w:r>
      <w:r>
        <w:t xml:space="preserve"> 돌봄 기관으로 분류되어 있지만 실제로는 소득 지원 제도가 놓친 아이들을 마지막으로 받아내는 자리에 서 있는 셈이다.</w:t>
      </w:r>
    </w:p>
    <w:p>
      <w:r>
        <w:t xml:space="preserve">성과 측면의 근거도 축적되고 있다. 지역아동센터를 이용하는 아동은 그렇지 않은 아동보다 학교 출석률이 높았다.</w:t>
      </w:r>
      <w:r>
        <w:t xml:space="preserve">(오렌지사회정책연구원, 2023)</w:t>
      </w:r>
      <w:r>
        <w:t xml:space="preserve"> 돌봄이 단순한 보호를 넘어 학습 연속성에 기여한다는 뜻이며, 이는 센터를 비용이 아니라 투자로 보아야 할 이유가 된다.</w:t>
      </w:r>
    </w:p>
    <w:p>
      <w:r>
        <w:t xml:space="preserve">조사의 범위를 밝혀 둔다. 이 실태조사는 전국 1,012개 센터를 표본으로 삼았다.</w:t>
      </w:r>
      <w:r>
        <w:rPr>
          <w:vertAlign w:val="superscript"/>
        </w:rPr>
        <w:footnoteReference w:id="3"/>
      </w:r>
      <w:r>
        <w:t xml:space="preserve"> 전수조사가 아닌 만큼 소규모 센터의 사정은 과소 대표되었을 가능성이 있다. 다만 현장의 목소리는 통계보다 더 절박하다. 현장에서는 아동 한 명당 성인 한 명이 붙어야 제대로 된 돌봄이 가능하다는 이야기가 나온다.</w:t>
      </w:r>
      <w:r>
        <w:rPr>
          <w:vertAlign w:val="superscript"/>
        </w:rPr>
        <w:endnoteReference w:id="2"/>
      </w:r>
      <w:r>
        <w:t xml:space="preserve"> 그리고 그 규모는 결코 작지 않다. 돌봄 공백을 겪는 아동은 연간 약 47만 명으로 추정된다.</w:t>
      </w:r>
      <w:r>
        <w:rPr>
          <w:vertAlign w:val="superscript"/>
        </w:rPr>
        <w:endnoteReference w:id="3"/>
      </w:r>
      <w:r>
        <w:t xml:space="preserve"/>
      </w:r>
    </w:p>
    <w:p>
      <w:r>
        <w:rPr>
          <w:b/>
          <w:sz w:val="26"/>
        </w:rPr>
        <w:t xml:space="preserve">5. 돌봄은 세대를 가로지른다</w:t>
      </w:r>
    </w:p>
    <w:p>
      <w:r>
        <w:t xml:space="preserve">아동 돌봄 문제를 노인 돌봄과 떼어 놓고 다루면 조손가구의 현실을 놓치게 된다. 노인 세 명 중 한 명(33.2%)은 혼자 산다.</w:t>
      </w:r>
      <w:r>
        <w:t xml:space="preserve">(오렌지국 복지부·오렌지사회정책연구원, 2024)</w:t>
      </w:r>
      <w:r>
        <w:t xml:space="preserve"> 혼자 사는 노인의 증가는 곧 손자녀를 맡아 키우는 노인의 부담이 사적 관계망 없이 개인에게 집중된다는 뜻이기도 하다.</w:t>
      </w:r>
    </w:p>
    <w:p>
      <w:r>
        <w:t xml:space="preserve">경제적 기반도 취약하다. 노인의 연평균 개인소득 1,558만원 가운데 근로소득이 차지하는 몫은 42.1%에 달한다.</w:t>
      </w:r>
      <w:r>
        <w:t xml:space="preserve">(오렌지국 복지부·오렌지사회정책연구원, 2024)</w:t>
      </w:r>
      <w:r>
        <w:t xml:space="preserve"> 근로소득 의존도가 이 정도로 높다는 것은, 건강 악화로 일을 놓는 순간 가구 전체가 곧바로 소득 절벽에 놓인다는 의미다. 손자녀를 양육하는 노인이라면 그 충격은 두 세대에 동시에 도달한다.</w:t>
      </w:r>
    </w:p>
    <w:p>
      <w:r>
        <w:t xml:space="preserve">정신건강 지표도 함께 보아야 한다. 노인 열 명 중 한 명 이상(11.3%)이 우울증상을 보인다.</w:t>
      </w:r>
      <w:r>
        <w:t xml:space="preserve">(오렌지국 복지부·오렌지사회정책연구원, 2024)</w:t>
      </w:r>
      <w:r>
        <w:t xml:space="preserve"> 우울은 돌봄의 질에 직접 영향을 미치는 요인이며, 조손가구에서는 아동의 정서 발달로 곧장 이어진다.</w:t>
      </w:r>
    </w:p>
    <w:p>
      <w:r>
        <w:t xml:space="preserve">의료 접근성에서도 계층 격차는 뚜렷하다. 의료급여 수급자의 미충족 의료율은 8.4%로, 건강보험 가입자 3.1%의 두 배를 훌쩍 넘는다.</w:t>
      </w:r>
      <w:r>
        <w:t xml:space="preserve">(오렌지국 보건통계청, 2024)</w:t>
      </w:r>
      <w:r>
        <w:t xml:space="preserve"> 필요한 진료를 미루는 습관은 만성질환의 관리 실패로 이어지고, 그 비용은 결국 응급과 입원이라는 더 비싼 형태로 돌아온다.</w:t>
      </w:r>
    </w:p>
    <w:p>
      <w:r>
        <w:t xml:space="preserve">이 조사의 표본 규모는 다음과 같다. 이 조사는 전국의 65세 이상 노인 1만 78명을 대상으로 이뤄졌다.</w:t>
      </w:r>
      <w:r>
        <w:rPr>
          <w:vertAlign w:val="superscript"/>
        </w:rPr>
        <w:footnoteReference w:id="4"/>
      </w:r>
      <w:r>
        <w:t xml:space="preserve"> 전국 단위 추정치로서는 충분한 규모이나, 광역 단위 세부 분석에는 한계가 있다. 아울러 소득 분류 기준도 확인해 둘 필요가 있다. 보건통계청은 소득수준을 가구 처분가능소득 기준 사분위로 구분해 산출한다.</w:t>
      </w:r>
      <w:r>
        <w:rPr>
          <w:vertAlign w:val="superscript"/>
        </w:rPr>
        <w:endnoteReference w:id="4"/>
      </w:r>
      <w:r>
        <w:t xml:space="preserve"> 분류 기준이 다르면 같은 '1분위'라도 서로 다른 집단을 가리키므로, 지표를 교차 인용할 때 주의가 필요하다.</w:t>
      </w:r>
    </w:p>
    <w:p>
      <w:r>
        <w:rPr>
          <w:b/>
          <w:sz w:val="26"/>
        </w:rPr>
        <w:t xml:space="preserve">6. 정책 제안</w:t>
      </w:r>
    </w:p>
    <w:p>
      <w:r>
        <w:t xml:space="preserve">첫째, 아동수당의 지급 연령을 만 18세 미만으로 확대하고 한부모가구에 대한 추가 급여를 신설할 것을 제안한다. 현행 제도는 아동의 연령이 올라갈수록 지원이 얇아지는 반면, 실제 양육비 부담은 중고등학교 시기에 정점에 이른다. 지원의 시간 구조를 실제 지출의 시간 구조에 맞춰야 한다.</w:t>
      </w:r>
    </w:p>
    <w:p>
      <w:r>
        <w:t xml:space="preserve">둘째, 양육비 이행 절차를 청구 중심에서 자동 집행 중심으로 전환할 것을 제안한다. 법적 약정이 체결된 건에 한해서라도 급여 압류와 소득 연계를 자동화하면, 개인이 상대방을 상대로 반복적으로 다투는 구조를 크게 줄일 수 있다. 제도의 존재가 아니라 도달이 성과 지표가 되어야 한다.</w:t>
      </w:r>
    </w:p>
    <w:p>
      <w:r>
        <w:t xml:space="preserve">셋째, 지역아동센터의 종사자 배치 기준을 법정화하고 인건비를 국고에서 직접 보조할 것을 제안한다. 아울러 아동의 구강검진과 정신건강 선별을 센터 프로그램에 결합하여, 돌봄 기관을 조기 발견의 접점으로 활용해야 한다. 마지막으로 조손가구에 대해서는 아동 돌봄 지원과 노인 돌봄 지원이 한 창구에서 함께 신청되도록 통합 창구를 마련할 것을 제안한다.</w:t>
      </w:r>
    </w:p>
    <w:p>
      <w:r>
        <w:rPr>
          <w:b/>
          <w:sz w:val="26"/>
        </w:rPr>
        <w:t xml:space="preserve">7. 맺음말</w:t>
      </w:r>
    </w:p>
    <w:p>
      <w:r>
        <w:t xml:space="preserve">이 제안서가 인용한 수치들은 서로 다른 조사에서 나온 것이며, 조사마다 대상과 시점, 분류 기준이 다르다. 우리는 각 수치의 출처를 본문과 각주에 밝혔고, 해석의 한계도 가능한 한 함께 적었다. 그럼에도 남은 오류가 있다면 그것은 전적으로 작성자의 책임이다.</w:t>
      </w:r>
    </w:p>
    <w:p>
      <w:r>
        <w:t xml:space="preserve">통계는 아이를 대신해 말해 주지 않는다. 다만 어디를 먼저 보아야 하는지를 알려 줄 뿐이다. 이 문서가 그 우선순위에 관한 논의의 출발점이 되기를 바란다.</w:t>
      </w:r>
    </w:p>
    <w:p>
      <w:r>
        <w:rPr>
          <w:b/>
          <w:sz w:val="26"/>
        </w:rPr>
        <w:t xml:space="preserve">참고문헌</w:t>
      </w:r>
    </w:p>
    <w:p>
      <w:r>
        <w:t xml:space="preserve">· 오렌지국 가족평등부 (2025), 2024년 한부모가족 실태조사 주요 결과, 보도자료, 오렌지국 가족평등부, 2025-04-17 </w:t>
      </w:r>
      <w:hyperlink r:id="rId101">
        <w:r>
          <w:t xml:space="preserve">https://www.mofe.orange.go.kr/news/press/2025/0417</w:t>
        </w:r>
      </w:hyperlink>
    </w:p>
    <w:p>
      <w:r>
        <w:t xml:space="preserve">· 오렌지국 보건통계청 (2024), 2023 국민건강영양조사 통계집, 국민건강영양조사 제9기 2차년도, 오렌지국 보건통계청, 2024-12 </w:t>
      </w:r>
      <w:hyperlink r:id="rId102">
        <w:r>
          <w:t xml:space="preserve">https://knhanes.orange.go.kr/pub/2023/stat</w:t>
        </w:r>
      </w:hyperlink>
    </w:p>
    <w:p>
      <w:r>
        <w:t xml:space="preserve">· 오렌지국 복지부·오렌지사회정책연구원 (2024), 2023년도 노인실태조사, 연구보고서 2024-08, 오렌지사회정책연구원, 2024-06 </w:t>
      </w:r>
      <w:hyperlink r:id="rId103">
        <w:r>
          <w:t xml:space="preserve">https://www.ospi.orange.re.kr/report/2024-08</w:t>
        </w:r>
      </w:hyperlink>
    </w:p>
    <w:p>
      <w:r>
        <w:t xml:space="preserve">· 김세라·정민우 (2023), 아동의 구강건강 상태와 가구 소득수준의 연관성, 오렌지구강보건학회지, 제47권, 제3호, pp.145-158, 오렌지구강보건학회 </w:t>
      </w:r>
      <w:hyperlink r:id="rId104">
        <w:r>
          <w:t xml:space="preserve">https://www.kjoh.orange.or.kr/journal/view.php?vol=47&amp;no=3&amp;page=145</w:t>
        </w:r>
      </w:hyperlink>
    </w:p>
    <w:p>
      <w:r>
        <w:t xml:space="preserve">· GECD (2024), Family Database CO2.2: Child poverty rates, Global Economic Cooperation and Development (GECD), 2024-09 </w:t>
      </w:r>
      <w:hyperlink r:id="rId105">
        <w:r>
          <w:t xml:space="preserve">https://www.gecd.org/els/family/database/CO2_2.pdf</w:t>
        </w:r>
      </w:hyperlink>
    </w:p>
    <w:p>
      <w:r>
        <w:t xml:space="preserve">· 오렌지사회정책연구원 (2023), 지역아동센터 운영실태와 정책과제, 연구보고서 2023-24, 오렌지사회정책연구원, 2023-11 </w:t>
      </w:r>
      <w:hyperlink r:id="rId106">
        <w:r>
          <w:t xml:space="preserve">https://www.ospi.orange.re.kr/report/2023-24</w:t>
        </w:r>
      </w:hyperlink>
    </w:p>
    <w:p>
      <w:r>
        <w:t xml:space="preserve">· 오렌지일보 사회부 (2024), "돌봄 공백 여전"… 지역아동센터 종사자 처우 논란, 오렌지일보, 2024-05-21 </w:t>
      </w:r>
      <w:hyperlink r:id="rId107">
        <w:r>
          <w:t xml:space="preserve">https://www.orangeilbo.co.kr/article/2024/05/21/1029384</w:t>
        </w:r>
      </w:hyperlink>
    </w:p>
    <w:sectPr>
      <w:pgSz w:w="11906" w:h="16838"/>
    </w:sectPr>
  </w:body>
</w:document>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 w:id="1">
    <w:p>
      <w:r>
        <w:t xml:space="preserve">GECD (2024), Family Database CO2.2: Child poverty rates, Global Economic Cooperation and Development (GECD), 2024-09</w:t>
      </w:r>
    </w:p>
  </w:endnote>
  <w:endnote w:id="2">
    <w:p>
      <w:r>
        <w:t xml:space="preserve">복지현장 이야기 (개인 블로그) (2024), 지역아동센터에서 10년 일하며 느낀 것, 개인 블로그, 2024-03-02</w:t>
      </w:r>
    </w:p>
  </w:endnote>
  <w:endnote w:id="3">
    <w:p>
      <w:r>
        <w:t xml:space="preserve">오렌지아동정책연구소 (2024), 돌봄 사각지대 아동 규모 추계 연구, 오렌지아동정책연구소</w:t>
      </w:r>
    </w:p>
  </w:endnote>
  <w:endnote w:id="4">
    <w:p>
      <w:r>
        <w:t xml:space="preserve">오렌지국 보건통계청 (2024), 2023 국민건강영양조사 통계집, 국민건강영양조사 제9기 2차년도, 오렌지국 보건통계청, 2024-12</w:t>
      </w:r>
    </w:p>
  </w:endnote>
</w:endnote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r>
        <w:t xml:space="preserve">김세라·정민우 (2023), 아동의 구강건강 상태와 가구 소득수준의 연관성, 오렌지구강보건학회지, 제47권, 제3호, pp.145-158, 오렌지구강보건학회</w:t>
      </w:r>
    </w:p>
  </w:footnote>
  <w:footnote w:id="2">
    <w:p>
      <w:r>
        <w:t xml:space="preserve">오렌지국 국토주택연구원 (2024), 2023 주거실태조사 심층분석: 한부모가구 편, 오렌지국 국토주택연구원</w:t>
      </w:r>
    </w:p>
  </w:footnote>
  <w:footnote w:id="3">
    <w:p>
      <w:r>
        <w:t xml:space="preserve">오렌지사회정책연구원 (2023), 지역아동센터 운영실태와 정책과제, 연구보고서 2022-24, 오렌지사회정책연구원, 2023-11</w:t>
      </w:r>
    </w:p>
  </w:footnote>
  <w:footnote w:id="4">
    <w:p>
      <w:r>
        <w:t xml:space="preserve">오렌지국 복지부·오렌지사회정책연구원 (2023), 2023년도 노인실태조사, 연구보고서 2024-08, 오렌지사회정책연구원, 2024-06</w:t>
      </w:r>
    </w:p>
  </w:footnote>
</w:footnotes>
</file>

<file path=word/settings.xml><?xml version="1.0" encoding="utf-8"?>
<w:settings xmlns:w="http://schemas.openxmlformats.org/wordprocessingml/2006/main" xmlns:r="http://schemas.openxmlformats.org/officeDocument/2006/relationships">
  <w:footnotePr>
    <w:footnote w:id="-1"/>
    <w:footnote w:id="0"/>
  </w:footnotePr>
  <w:endnotePr>
    <w:endnote w:id="-1"/>
    <w:endnote w:id="0"/>
  </w:endnotePr>
</w:settings>
</file>

<file path=word/_rels/document.xml.rels><?xml version="1.0" encoding="UTF-8" standalone="yes"?><Relationships xmlns="http://schemas.openxmlformats.org/package/2006/relationships"><Relationship Id="rId1" Type="http://schemas.openxmlformats.org/officeDocument/2006/relationships/footnotes" Target="footnotes.xml"/><Relationship Id="rId2" Type="http://schemas.openxmlformats.org/officeDocument/2006/relationships/endnotes" Target="endnotes.xml"/><Relationship Id="rId3" Type="http://schemas.openxmlformats.org/officeDocument/2006/relationships/settings" Target="settings.xml"/><Relationship Id="rId101" Type="http://schemas.openxmlformats.org/officeDocument/2006/relationships/hyperlink" Target="https://www.mofe.orange.go.kr/news/press/2025/0417" TargetMode="External"/><Relationship Id="rId102" Type="http://schemas.openxmlformats.org/officeDocument/2006/relationships/hyperlink" Target="https://knhanes.orange.go.kr/pub/2023/stat" TargetMode="External"/><Relationship Id="rId103" Type="http://schemas.openxmlformats.org/officeDocument/2006/relationships/hyperlink" Target="https://www.ospi.orange.re.kr/report/2024-08" TargetMode="External"/><Relationship Id="rId104" Type="http://schemas.openxmlformats.org/officeDocument/2006/relationships/hyperlink" Target="https://www.kjoh.orange.or.kr/journal/view.php?vol=47&amp;no=3&amp;page=145" TargetMode="External"/><Relationship Id="rId105" Type="http://schemas.openxmlformats.org/officeDocument/2006/relationships/hyperlink" Target="https://www.gecd.org/els/family/database/CO2_2.pdf" TargetMode="External"/><Relationship Id="rId106" Type="http://schemas.openxmlformats.org/officeDocument/2006/relationships/hyperlink" Target="https://www.ospi.orange.re.kr/report/2023-24" TargetMode="External"/><Relationship Id="rId107" Type="http://schemas.openxmlformats.org/officeDocument/2006/relationships/hyperlink" Target="https://www.orangeilbo.co.kr/article/2024/05/21/1029384" TargetMode="External"/></Relationships>
</file>