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algun Gothic" w:cs="Malgun Gothic" w:eastAsia="Malgun Gothic" w:hAnsi="Malgun Gothic"/>
          <w:b/>
          <w:bCs/>
          <w:sz w:val="24"/>
          <w:szCs w:val="24"/>
        </w:rPr>
        <w:t xml:space="preserve">Appendix A. PtD Alternative Library for RC Frame Construction (재해유형별 PtD 대안 라이브러리) — v2.3</w:t>
      </w:r>
    </w:p>
    <w:p>
      <w:r>
        <w:rPr>
          <w:rFonts w:ascii="Malgun Gothic" w:cs="Malgun Gothic" w:eastAsia="Malgun Gothic" w:hAnsi="Malgun Gothic"/>
          <w:b w:val="false"/>
          <w:bCs w:val="false"/>
          <w:sz w:val="15"/>
          <w:szCs w:val="15"/>
        </w:rPr>
        <w:t xml:space="preserve">구성: KnowledgeEntry 90건 (기존 75 + 신규 15). 재해유형(사망 점유율 순) 그룹화. * = 시뮬레이션 실행층 승격 항목(SimulationRule 부착). 설계결정 O = 착공 전 설계·계획 단계 결정 가능(isDesignDecidable). Action By — Architect, CE(토목), SE(구조), ME(설비), PE(공사), CON(시공자).</w:t>
      </w:r>
    </w:p>
    <w:p>
      <w:r>
        <w:rPr>
          <w:rFonts w:ascii="Malgun Gothic" w:cs="Malgun Gothic" w:eastAsia="Malgun Gothic" w:hAnsi="Malgun Gothic"/>
          <w:b w:val="false"/>
          <w:bCs w:val="false"/>
          <w:sz w:val="15"/>
          <w:szCs w:val="15"/>
        </w:rPr>
        <w:t xml:space="preserve">음영 표시된 행(KE_K_*)은 국토안전관리원 위험요소 프로파일(2025.09.23 개방본, 전체 55,546건) 스크리닝으로 신규 추가된 항목이다. 스크리닝 범위는 시설물=건축, 공종=철근콘크리트공사 및 가설공사, RC 골조 관련 위험발생객체 한정, 중복 제거 후 3,297건이다.</w:t>
      </w:r>
    </w:p>
    <w:p>
      <w:r>
        <w:rPr>
          <w:rFonts w:ascii="Malgun Gothic" w:cs="Malgun Gothic" w:eastAsia="Malgun Gothic" w:hAnsi="Malgun Gothic"/>
          <w:b w:val="false"/>
          <w:bCs w:val="false"/>
          <w:sz w:val="15"/>
          <w:szCs w:val="15"/>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50"/>
        <w:gridCol w:w="1000"/>
        <w:gridCol w:w="5150"/>
        <w:gridCol w:w="780"/>
        <w:gridCol w:w="780"/>
        <w:gridCol w:w="1450"/>
        <w:gridCol w:w="2050"/>
        <w:gridCol w:w="2838"/>
      </w:tblGrid>
      <w:tr>
        <w:trPr>
          <w:tblHeader/>
        </w:trPr>
        <w:tc>
          <w:tcPr>
            <w:tcW w:type="dxa" w:w="135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ID</w:t>
            </w:r>
          </w:p>
        </w:tc>
        <w:tc>
          <w:tcPr>
            <w:tcW w:type="dxa" w:w="10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공종 (Trade)</w:t>
            </w:r>
          </w:p>
        </w:tc>
        <w:tc>
          <w:tcPr>
            <w:tcW w:type="dxa" w:w="515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PtD 대안 (Directive)</w:t>
            </w:r>
          </w:p>
        </w:tc>
        <w:tc>
          <w:tcPr>
            <w:tcW w:type="dxa" w:w="78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HoC</w:t>
            </w:r>
          </w:p>
        </w:tc>
        <w:tc>
          <w:tcPr>
            <w:tcW w:type="dxa" w:w="78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설계결정</w:t>
            </w:r>
          </w:p>
        </w:tc>
        <w:tc>
          <w:tcPr>
            <w:tcW w:type="dxa" w:w="145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Action By</w:t>
            </w:r>
          </w:p>
        </w:tc>
        <w:tc>
          <w:tcPr>
            <w:tcW w:type="dxa" w:w="205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정량 사양 (Spec)</w:t>
            </w:r>
          </w:p>
        </w:tc>
        <w:tc>
          <w:tcPr>
            <w:tcW w:type="dxa" w:w="2838"/>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출처 (Source)</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떨어짐 (Falls)  (기존 31건 / 신규 4건)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KE_S_FE_09</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프리캐스트 계단에 난간을 공장에서 선설치한 후 일체 인양 — 설치 후 난간 작업 자체를 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Goh et al. (2021) — DfS B-4 Elimination: guardrails pre-installed onto staircases before lifting</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KE_T_FE_01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창호 하부 벽체(창대) 높이를 바닥에서 최소 42인치(약 1.07m)로 설계하여 시공 중 벽체 개구부가 그 자체로 난간 역할을 하도록 함 — 가설 난간 필요성 원천 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창대 높이 ≥42in(1.07m)</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 Fall Prevention Toolkit, p.2 (Windows/Balconies)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KE_T_FE_04*</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본설 계단을 공사 초기에 우선 시공하여 작업자 동선으로 사용 — 사다리·가설 수직동선 의존 자체를 제거하는 공정 결정</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Gambatese (2019) — p.3 (build permanent stairways as soon as possible)</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KE_S_FE_07</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층간 부재 치수·배치 표준화로 거푸집 재사용성을 높여 고소 조립·해체 작업량 자체를 축소</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 Sourcebook: keep dimensions similar from story to story to facilitate reuse of concrete forms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KE_T_FE_05</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지상 조립 후 일체 인양 설치하는 프리패브 계단 채택 — 고소 조립작업 자체를 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Goh et al. (2021), Gambatese (2019) — p.3 (prefabricated or ground-assembled stairways)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KE_M_Fall_FormErection_01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개구부에 재하 하중을 지지하는 견고한 덮개 설치·고정을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제43조 — 충분한 강도, 뒤집힘·탈락 방지 고정, 개구부 표시. NIOSH: 작업자 하중 지지 덮개</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KE_M_Fall_FormErection_02*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단부·개구부 주위에 안전난간 설치를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제13조 — 상부난간대 바닥면에서 90cm 이상, 발끝막이판 10cm 이상, 100kg 하중 저항 (방호조치 의무는 제43조)</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KE_M_Fall_FormErection_03*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표준 작업발판 설치와 발판 틈새막음 기준을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9건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KE_S_FE_06</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상부 보·테두리보를 생명줄(라이프라인) 지지 구조로 설계 — 추락보호 앵커의 본설계 통합</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 Sourcebook: design perimeter beams and beams above floor openings to support lifelines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KE_T_FE_02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본구조물에 가설 난간 포스트용 매입 브래킷을 설계 단계에서 포함 — 설치·해체 중 난간 설치의 신속성·확실성 확보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Goh et al. (2021) — p.2 (mounting brackets for temporary guardrail posts)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KE_T_FE_03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추락방지 앵커리지 포인트(수평구명줄·데빗)를 구조도면에 설계 반영 — PPE 사용을 가능케 하는 설계 결정</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제8조 — 그 밖의 작업 75lux 이상 (보통 150 / 정밀 300 / 초정밀 750)</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Gambatese (2019) — p.2 (fall protection anchorage points)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KE_M_Fall_FormErection_04*</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61건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KE_S_FE_08*</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 · 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메탈데크+콘크리트 토핑 합성 슬래브 채택으로 임시 거푸집·동바리 소요 자체를 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Goh et al. (2021) — Sourcebook: use metal deck and concrete fill rather than slab requiring temporary formwork / DfS A-2: composite metal decks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KE_T_FS_01*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마감·영구 난간 설치 공정을 해체 공정보다 선행 배치 — 해체 시점의 개구부 재노출 창을 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산안규칙 제43조 — p.4 원칙의 해체 국면 적용</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KE_M_Fall_Stripping_01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16건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KE_M_Fall_MatHandling_01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단부·개구부 주위에 안전난간 설치를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제13조 — 상부난간대 바닥면에서 90cm 이상, 발끝막이판 10cm 이상, 100kg 하중 저항 (방호조치 의무는 제43조)</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KE_M_Fall_MatHandling_02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20건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KE_M_Fall_Rebar_01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8건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KE_T_PO_01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지면 슬래브·보도 등 평면 공사를 공정 초기에 배치하여 고소 구조물 인접 작업 시 작업자 접근면으로 활용 — 노출 자체를 줄이는 공정 결정</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 p.4 (design and schedule slabs-on-grade as early as possible)</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KE_T_PO_02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층별 크기·형상 변화와 단차(오프셋)를 최소화한 평면 설계 — 단차·경계부 추락 및 걸림 위험의 기하학적 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 p.4 (limited offsets, minimized changes in floor level)</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재래식 현장타설 대신 하프PC 슬래브 채택으로 현장 개구부 형성 작업 자체를 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KE_M_Fall_Pour_01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단부·개구부 주위에 안전난간 설치를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제13조 — 상부난간대 바닥면에서 90cm 이상, 발끝막이판 10cm 이상, 100kg 하중 저항 (방호조치 의무는 제43조)</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KE_H001_06</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인접 구역 감지·경보 장치(접근 경보) 설치</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경고</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ANSI/ASSP Z590.3</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KE_M_Fall_Pour_02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9건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설비 관통 개구부를 통합 샤프트로 집약 설계하여 슬래브 개구부 개소 수 자체를 축소</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Gambatese (2019)</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KE_H001_04*</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마감(closure) 액티비티를 타설 직후로 전진 배치하여 activeWindow 자체를 단축</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Szymberski (1997)</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KE_S_H001_09*</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개구부를 통로·작업구역·출입 동선에서 이격 배치하는 평면 설계 — 노출 기하학의 원천 변경</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 Sourcebook: locate floor openings away from passageways, work areas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덮개를 거푸집 제작 시 일체 선시공(cast-in cover)하여 무방호 노출 기간 원천 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제43조 — 충분한 강도, 뒤집힘·탈락 방지 고정, 개구부 표시. NIOSH: 작업자 하중 지지 덮개</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산안규칙 제43조, Goh et al. (2021)</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KE_H001_05*</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안전난간·수직형 추락방호망을 개구부 주위에 설치</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 SE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제13조 — 상부난간대 바닥면에서 90cm 이상, 발끝막이판 10cm 이상, 100kg 하중 저항 (방호조치 의무는 제43조)</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산안규칙 제43조, Mistikoglu &amp; Gerek (2015)</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KE_H001_07*</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구역 출입통제 구획 및 작업허가제 운영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Chi et al. (2014)</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KE_H001_08*</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 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인접 작업 시 안전대 부착설비 및 착용</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보호구</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산안규칙 제44조, Kang et al. (2017)</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KE_K_FE_10*</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재래식 강관비계·강관동바리 대신 시스템비계·시스템동바리를 설계 적용 — 규격화 부재로 조립불량에서 기인하는 위험 발생 경로 자체를 대체</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PE</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구조검토서에 의한 시스템비계·동바리 설치</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186건(떨어짐 147 / 깔림 31)</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KE_K_RB_02*</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슬래브 상부 배근 구간에 실족방지 발판 및 작업자 전용 가설 이동통로를 설치 — 배근면 직접 보행 자체를 회피</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167건(넘어짐 82 / 떨어짐 59)</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KE_K_FE_11</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동바리·비계 지지 지반의 평탄화 및 버림콘크리트 타설을 설계에 반영 — 부등침하 기인 전도·붕괴 차단</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CE, SE</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버림콘크리트 10cm 타설, 부등침하 방지조치</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11건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KE_K_FS_02*</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거푸집·동바리 존치기간과 해체시기·해체순서를 설계도면에 명기 — 조기 해체 및 무계획 해체 창(window) 제거</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PE</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존치기간 및 유의사항 도면 표기</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90건(깔림 45 / 떨어짐 45)</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무너짐 (Collapse)  (기존 6건 / 신규 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KE_S_CP_05*</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콘크리트 강도 검증(매입형 강도측정 장치 포함)을 거푸집·동바리 해체의 선행 조건으로 설계 — 조기 해체 붕괴의 조건부 차단</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설계기준압축강도 도달 확인(공시체 시험 또는 성숙도법) 후 해체</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 Sourcebook: require concrete test results verified before form stripping; embedded testing devices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KE_T_CP_01*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U형 프리캐스트 보 + 현장타설 충전 등 PC 부재 채택으로 현장 거푸집·동바리 물량 자체를 축소 — 붕괴 노출원 감축</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Goh et al. (2021) — Struck-by Building, p.10 (U-shaped precast beams with cast-in-situ infill)</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KE_S_CP_04*</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리프트 높이 제한·분할 타설 설계(예: 두꺼운 전이슬래브를 2층 분할 타설, 1층 양생 후 2층 타설)로 동바리 하중 자체를 저감</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분할 타설 1층 두께 예시 800mm 후 강도 발현 시 2층 (DfS B-6)</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Goh et al. (2021) — Sourcebook: limit lift height of concrete pours / DfS B-6: thick transfer slab cast in two layers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KE_T_CP_02*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거푸집·동바리 구조를 하중 조건에 맞게 사전 구조검토하고 조립도를 작성·준수 — 설계 단계의 구조안전 확보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산안규칙 제330조, 산안규칙 제331조 — 제330조·제331조</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KE_S_CP_06</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거푸집·동바리 제거 일정을 설계 단계에서 명시적 공정으로 계획(제거 순서·시점 문서화)</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 Sourcebook: provide a schedule for removing concrete forms and shores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KE_T_CP_03*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 중·양생 초기 동바리 존치 구간 직하부를 무출입 구역으로 계획하고 타설 순서를 편심·집중타설이 없도록 계획 — 제334조 타설계획의 설계화</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산안규칙 제334조 — 제334조</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KE_K_CP_07*</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시스템동바리 적용으로 재래식 강관동바리의 조립불량 기인 붕괴 경로를 대체</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PE</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높이 5m 이상 시 구조안전성 검토 반영</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31건(깔림)</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KE_K_CP_08</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가설기자재 인증품 반입 및 반입시험 실시를 설계도면에 명시 — 불량 자재 기인 붕괴 경로 차단</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11건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KE_K_CP_09*</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조립·해체 작업순서도를 설계도서에 반영하여 공정 간 중첩 및 역순 해체를 사전 배제</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49건(떨어짐 32 / 깔림 16)</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물체에 맞음 (Struck-by Object)  (기존 11건 / 신규 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KE_M_HitByObj_FormErection_01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적치구역과 분리된 안전통로(보행로)를 배치계획에 지정하고 통로 내 적치를 금지</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KE_M_HitByObj_FormErection_02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85건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KE_T_HS_01*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부재를 지상에서 선조립 후 완성 어셈블리로 인양 설치 — 고소 조립·해체 작업 자체를 회피</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위험회피</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 Struck-by Building, p.11 (prefabrication on the ground, erecting complete assemblies)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KE_T_HS_03*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고위험 작업(해체 등) 시간대에 필수 인원만 투입되도록 단계별(phased) 작업계획 수립 — 공존 노출의 시간적 분리</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 p.10 (phased work plans, only necessary personnel present)</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KE_T_HS_04*</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작업발판 일체형 거푸집 채택 — 해체 시 개별 부재 탈락·낙하 기회를 구조적으로 축소</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산안규칙 제331조의3 — 제331조의3</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KE_T_HS_02*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고소 작업(해체 포함) 구역 직하부에 낙하물 방지망·물리적 배리어를 계획 배치</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CE,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 p.10 (physical barriers or debris nets below elevated work)</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KE_M_HitByObj_Stripping_01*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71건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KE_M_HitByObj_MatHandling_01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적치구역과 분리된 안전통로(보행로)를 배치계획에 지정하고 통로 내 적치를 금지</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5건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KE_M_HitByObj_MatHandling_02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32건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KE_M_HitByObj_Rebar_01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KE_M_HitByObj_Pour_01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12건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KE_K_HS_05*</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다단적재 금지 및 작업발판 1개당 최대 적재하중을 도면에 표기 — 적치물 전도·낙하 발생원 자체를 제한</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PE</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작업발판 1개당 최대 적재하중 표기, 다단적재 금지</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47건(깔림 35 / 떨어짐 11)</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KE_K_RB_03*</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수직 철근 및 조립 철근에 전도방지 버팀대를 설치하도록 상세도를 설계에 반영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수직 철근 버팀대 설치, 자립도 검토 및 앵커 보강</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243건(깔림 210 / 찔림 21)</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KE_K_HS_06</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가설울타리·가설휀스 설치계획도를 작성하여 낙하 영향구역과 통행구역을 물리적으로 분리</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38건(물체에 맞음 22 / 깔림 14)</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넘어짐 (Trips)  (기존 15건 / 신규 1건)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KE_M_Trip_FormErection_01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표준 작업발판 설치와 발판 틈새막음 기준을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KE_M_Trip_FormErection_02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적치구역과 분리된 안전통로(보행로)를 배치계획에 지정하고 통로 내 적치를 금지</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8건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KE_M_Trip_FormErection_03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97건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KE_M_Trip_Stripping_01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26건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KE_S_H001_10</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 주변 걸림원(단차·자재·잔재) 제거를 설계·배치 기준으로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(2019) — Sourcebook: eliminate tripping hazards around floor openings</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개구부에 재하 하중을 지지하는 견고한 덮개 설치·고정을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제43조 — 충분한 강도, 뒤집힘·탈락 방지 고정, 개구부 표시. NIOSH: 작업자 하중 지지 덮개</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KE_M_Trip_MatHandling_03</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고소작업 하부·개구부에 낙하물 방지망 또는 추락 방호망 설치를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6건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KE_M_Trip_MatHandling_04</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표준 작업발판 설치와 발판 틈새막음 기준을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5건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KE_M_Trip_MatHandling_05*</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적치구역과 분리된 안전통로(보행로)를 배치계획에 지정하고 통로 내 적치를 금지</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25건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KE_M_Trip_MatHandling_06*</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적재구역을 작업 동선과 이격하여 사전 지정하고 반입 시점별 야적 계획을 수립</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통로·작업구간의 조도 확보와 위험부 시인성 표지 설치를 배치계획에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경고</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제8조 — 그 밖의 작업 75lux 이상 (보통 150 / 정밀 300 / 초정밀 750)</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15건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KE_M_Trip_MatHandling_07</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172건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KE_M_Trip_Rebar_01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고소작업 하부·개구부에 낙하물 방지망 또는 추락 방호망 설치를 가설계획에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KE_M_Trip_Rebar_02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42건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KE_M_Trip_Pour_01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44건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KE_K_TR_08</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정리정돈 기준 및 통로 조명 설치 예시도를 설계도서에 반영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경고</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규칙 제8조 — 그 밖의 작업 75lux 이상</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1건</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끼임 (Caught-in/between)  (기존 5건 / 신규 2건)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KE_M_Caught_FormErection_01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30건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KE_M_Caught_Stripping_01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23건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KE_M_Caught_MatHandling_01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32건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KE_M_Caught_Rebar_01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27건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KE_M_Caught_Pour_01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12건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KE_K_CA_02*</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 가공기계의 조작 스위치 발등 덮개 등 방호장치를 설계 안전대책으로 제시</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조작 스위치 발등 덮개</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끼임 채널</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KE_K_CA_03</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갱폼 앵커볼트 선해체 방지용 방호장치를 설계에 반영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부딪힘 (Struck-by)  (기존 7건 / 신규 1건)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KE_M_Struck_FormErection_01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유해·위험 자재를 저위험 대체재로 변경(사례: 유성 박리제 → 수성 박리제 + 도포 순서 변경)</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대체</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Architect, SE, PE</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KE_M_Struck_FormErection_02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설치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35건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KE_M_Struck_Stripping_01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거푸집 해체</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10건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KE_M_Struck_MatHandling_01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36건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KE_M_Struck_Rebar_01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간섭 공종의 작업 순서를 재배열하여 동시작업 노출을 제거(사례: 거푸집공사 완료 후 철근작업 착수로 변경)</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제거</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1건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KE_M_Struck_Rebar_02</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9건</w:t>
            </w:r>
          </w:p>
        </w:tc>
      </w:tr>
      <w:tr>
        <w:tc>
          <w:tcPr>
            <w:tcW w:type="dxa" w:w="13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KE_M_Struck_Pour_01</w:t>
            </w:r>
          </w:p>
        </w:tc>
        <w:tc>
          <w:tcPr>
            <w:tcW w:type="dxa" w:w="10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타설</w:t>
            </w:r>
          </w:p>
        </w:tc>
        <w:tc>
          <w:tcPr>
            <w:tcW w:type="dxa" w:w="51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해당 공종 작업자 대상 사고사례 기반 안전교육·TBM 실시를 작업계획서에 명시</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관리적</w:t>
            </w:r>
          </w:p>
        </w:tc>
        <w:tc>
          <w:tcPr>
            <w:tcW w:type="dxa" w:w="780"/>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X</w:t>
            </w:r>
          </w:p>
        </w:tc>
        <w:tc>
          <w:tcPr>
            <w:tcW w:type="dxa" w:w="14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CON</w:t>
            </w:r>
          </w:p>
        </w:tc>
        <w:tc>
          <w:tcPr>
            <w:tcW w:type="dxa" w:w="205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283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CSI (2025) · 현장사례 4건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KE_K_ST_03*</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자재 운반</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작업자 동선과 차량·장비 동선을 분리한 가설배치도를 작성(진출입로·유도자 배치 포함)</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PE,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현장 진출입로, 작업자·차량 동선 구분</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12건</w:t>
            </w:r>
          </w:p>
        </w:tc>
      </w:tr>
      <w:tr>
        <w:tc>
          <w:tcPr>
            <w:tcW w:type="dxa" w:w="15398"/>
            <w:gridSpan w:val="8"/>
            <w:shd w:fill="E2EFDA" w:color="auto" w:val="clear"/>
            <w:tcMar>
              <w:top w:type="dxa" w:w="60"/>
              <w:left w:type="dxa" w:w="70"/>
              <w:bottom w:type="dxa" w:w="60"/>
              <w:right w:type="dxa" w:w="70"/>
            </w:tcMar>
          </w:tcPr>
          <w:p>
            <w:r>
              <w:rPr>
                <w:rFonts w:ascii="Malgun Gothic" w:cs="Malgun Gothic" w:eastAsia="Malgun Gothic" w:hAnsi="Malgun Gothic"/>
                <w:b/>
                <w:bCs/>
                <w:sz w:val="16"/>
                <w:szCs w:val="16"/>
              </w:rPr>
              <w:t xml:space="preserve">찔림 (Puncture) — 신설  (기존 0건 / 신규 1건)</w:t>
            </w:r>
          </w:p>
        </w:tc>
      </w:tr>
      <w:tr>
        <w:tc>
          <w:tcPr>
            <w:tcW w:type="dxa" w:w="1350"/>
            <w:shd w:fill="FFF2CC" w:color="auto" w:val="clear"/>
            <w:tcMar>
              <w:top w:type="dxa" w:w="40"/>
              <w:left w:type="dxa" w:w="70"/>
              <w:bottom w:type="dxa" w:w="40"/>
              <w:right w:type="dxa" w:w="70"/>
            </w:tcMar>
          </w:tcPr>
          <w:p>
            <w:r>
              <w:rPr>
                <w:rFonts w:ascii="Malgun Gothic" w:cs="Malgun Gothic" w:eastAsia="Malgun Gothic" w:hAnsi="Malgun Gothic"/>
                <w:b/>
                <w:bCs/>
                <w:sz w:val="14"/>
                <w:szCs w:val="14"/>
              </w:rPr>
              <w:t xml:space="preserve">KE_K_PI_01*</w:t>
            </w:r>
          </w:p>
        </w:tc>
        <w:tc>
          <w:tcPr>
            <w:tcW w:type="dxa" w:w="100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철근</w:t>
            </w:r>
          </w:p>
        </w:tc>
        <w:tc>
          <w:tcPr>
            <w:tcW w:type="dxa" w:w="51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돌출 연직철근에 안전캡 설치를 설계도면에 반영 — 관통상 위험 제거</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공학적</w:t>
            </w:r>
          </w:p>
        </w:tc>
        <w:tc>
          <w:tcPr>
            <w:tcW w:type="dxa" w:w="780"/>
            <w:shd w:fill="FFF2CC" w:color="auto" w:val="clear"/>
            <w:tcMar>
              <w:top w:type="dxa" w:w="40"/>
              <w:left w:type="dxa" w:w="70"/>
              <w:bottom w:type="dxa" w:w="40"/>
              <w:right w:type="dxa" w:w="70"/>
            </w:tcMar>
          </w:tcPr>
          <w:p>
            <w:pPr>
              <w:jc w:val="center"/>
            </w:pPr>
            <w:r>
              <w:rPr>
                <w:rFonts w:ascii="Malgun Gothic" w:cs="Malgun Gothic" w:eastAsia="Malgun Gothic" w:hAnsi="Malgun Gothic"/>
                <w:b w:val="false"/>
                <w:bCs w:val="false"/>
                <w:sz w:val="14"/>
                <w:szCs w:val="14"/>
              </w:rPr>
              <w:t xml:space="preserve">O</w:t>
            </w:r>
          </w:p>
        </w:tc>
        <w:tc>
          <w:tcPr>
            <w:tcW w:type="dxa" w:w="14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SE, CON</w:t>
            </w:r>
          </w:p>
        </w:tc>
        <w:tc>
          <w:tcPr>
            <w:tcW w:type="dxa" w:w="2050"/>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돌출 연직철근 전량 안전캡</w:t>
            </w:r>
          </w:p>
        </w:tc>
        <w:tc>
          <w:tcPr>
            <w:tcW w:type="dxa" w:w="2838"/>
            <w:shd w:fill="FFF2CC" w:color="auto" w:val="clear"/>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위험요소 프로파일(2025) · 72건(찔림 60)</w:t>
            </w:r>
          </w:p>
        </w:tc>
      </w:tr>
    </w:tbl>
    <w:p>
      <w:pPr>
        <w:pStyle w:val="Heading1"/>
        <w:pageBreakBefore/>
      </w:pPr>
      <w:r>
        <w:rPr>
          <w:rFonts w:ascii="Malgun Gothic" w:cs="Malgun Gothic" w:eastAsia="Malgun Gothic" w:hAnsi="Malgun Gothic"/>
          <w:b/>
          <w:bCs/>
          <w:sz w:val="24"/>
          <w:szCs w:val="24"/>
        </w:rPr>
        <w:t xml:space="preserve">Appendix B. Reference List (전거 목록)</w:t>
      </w:r>
    </w:p>
    <w:p>
      <w:r>
        <w:rPr>
          <w:rFonts w:ascii="Malgun Gothic" w:cs="Malgun Gothic" w:eastAsia="Malgun Gothic" w:hAnsi="Malgun Gothic"/>
          <w:b w:val="false"/>
          <w:bCs w:val="false"/>
          <w:sz w:val="15"/>
          <w:szCs w:val="15"/>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tblHeader/>
        </w:trPr>
        <w:tc>
          <w:tcPr>
            <w:tcW w:type="dxa" w:w="3200"/>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Ref. ID</w:t>
            </w:r>
          </w:p>
        </w:tc>
        <w:tc>
          <w:tcPr>
            <w:tcW w:type="dxa" w:w="12198"/>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Full citation</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REF_KALIS_HRP</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국토안전관리원. 위험요소 프로파일(Hazard Profile), 공공데이터포털 개방본 20250923 (전체 55,546건) — 신규</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REF_COCHRANE_CD006251</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van der Molen HF, Basnet P, Hoonakker PLT, et al. (2018). Interventions to prevent injuries in construction workers. Cochrane Database of Systematic Reviews, CD006251.pub4 — 신규</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REF_KR_R330</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제330조 (거푸집 및 동바리의 구조)</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REF_KR_R331</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제331조 (조립도)</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REF_KR_R331_3</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제331조의3 (작업발판 일체형 거푸집의 안전조치)</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REF_KR_R333</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제333조 (거푸집·동바리 조립·해체 등 작업 시의 준수사항)</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REF_KR_R334</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제334조 (콘크리트의 타설작업)</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REF_KR_R43</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제43조 (개구부 등의 방호 조치)</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REF_KR_R44</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산업안전보건기준에 관한 규칙 제44조 (안전대의 부착설비 등)</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Szymberski (1997). Construction project safety planning. TAPPI J.</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HSE (2006). Health and Safety in Construction, HSG150 3rd Ed.</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REF_S3</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OSHA 29 CFR 1926 Subpart M — Fall Protection</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REF_S4</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NIOSH (2024). PtD Toolkit for the Construction Industry. DHHS 2024-124</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REF_S10</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ANSI/ASSP Z590.3 Prevention through Design</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REF_S11</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Dong, X.S. et al. (2018). Safety Science — fall-from-height risk factors</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REF_S12</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Mistikoglu &amp; Gerek (2015). Procedia Engineering — guardrail effectiveness</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REF_S13</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Chi, S. et al. (2014). Safety Science — administrative controls &amp; risk tolerance</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REF_S15P</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J. (2019). PtD in the Project Delivery Process: A PtD Sourcebook for Construction Site Safety. Oregon State University (NIOSH 지원)</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REF_S16</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Goh, Y.M., Ng, Y.Q., Safiena, S. (2021). IES-NUS Design for Safety (DfS) Library for Designers. Ver. 2021-11-05</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REF_S22</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ASCE-ASME J. Risk Uncertainty Eng. Syst. A 11(1), 2024 — falls in vertical formwork operations</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REF_S23</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Chellappa &amp; Salve (2021). Fall-related safety issues in concrete formwork. E3S FORM 2021</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REF_S24</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Workers’ Injury Risks in RC Construction (2024, PMC11675920) — CSI 2,283건 분석</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REF_S25</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고용노동부 (2023). 2022년 재해조사 대상 사망사고 발생현황</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REF_S26P</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고용노동부 (2026.3.31.). 2025년(누적) 산업재해 현황 부가통계 보도자료</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REF_S27</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콘크리트 구조물 시공 위험 FMEA/RPN 연구 — ⚠ 정확 서지 확보 필요</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REF_S28</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IHSA Construction H&amp;S Manual, Ch.42 Formwork</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REF_S29</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NY FACE 13NY080 (2017). Formwork collapse during concrete placement, 2 fatalities</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REF_S30</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Gambatese &amp; Barbosa (CPWR). Use and Re-use of Formwork — OSHA 거푸집 사망보고 438건</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REF_S31</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Insights into Concrete Forming, Reinforcing, and Pouring in Building Construction. Buildings 12(9):1303 (2022)</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REF_S34</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Kang et al. (2017). Trends of fall accidents in the U.S. construction industry. JCEM</w:t>
            </w:r>
          </w:p>
        </w:tc>
      </w:tr>
      <w:tr>
        <w:tc>
          <w:tcPr>
            <w:tcW w:type="dxa" w:w="32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REF_S35</w:t>
            </w:r>
          </w:p>
        </w:tc>
        <w:tc>
          <w:tcPr>
            <w:tcW w:type="dxa" w:w="121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국토교통부 CSI 사고사례. 공종=철근콘크리트공사, 2025.1~12월, 1,368건(사망 17건)</w:t>
            </w:r>
          </w:p>
        </w:tc>
      </w:tr>
    </w:tbl>
    <w:p>
      <w:pPr>
        <w:pStyle w:val="Heading1"/>
        <w:pageBreakBefore/>
      </w:pPr>
      <w:r>
        <w:rPr>
          <w:rFonts w:ascii="Malgun Gothic" w:cs="Malgun Gothic" w:eastAsia="Malgun Gothic" w:hAnsi="Malgun Gothic"/>
          <w:b/>
          <w:bCs/>
          <w:sz w:val="24"/>
          <w:szCs w:val="24"/>
        </w:rPr>
        <w:t xml:space="preserve">Appendix C. 국내 설계단계 저감대책의 통제단계위계 분포</w:t>
      </w:r>
    </w:p>
    <w:p>
      <w:r>
        <w:rPr>
          <w:rFonts w:ascii="Malgun Gothic" w:cs="Malgun Gothic" w:eastAsia="Malgun Gothic" w:hAnsi="Malgun Gothic"/>
          <w:b w:val="false"/>
          <w:bCs w:val="false"/>
          <w:sz w:val="16"/>
          <w:szCs w:val="16"/>
        </w:rPr>
        <w:t xml:space="preserve">국토안전관리원 위험요소 프로파일은 「건설공사 안전관리 업무수행 지침」에 근거하여 설계의 안전성 검토(설계안전성검토) 및 안전관리계획 수립의 표준 참조자료로 제공되는 자료이다. 본 절은 이 자료의 설계단계 저감대책 3,297건을 통제단계위계(Hierarchy of Controls)로 분류한 결과이다.</w:t>
      </w:r>
    </w:p>
    <w:p>
      <w:r>
        <w:rPr>
          <w:rFonts w:ascii="Malgun Gothic" w:cs="Malgun Gothic" w:eastAsia="Malgun Gothic" w:hAnsi="Malgun Gothic"/>
          <w:b w:val="false"/>
          <w:bCs w:val="false"/>
          <w:sz w:val="15"/>
          <w:szCs w:val="15"/>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7298"/>
      </w:tblGrid>
      <w:tr>
        <w:trPr>
          <w:tblHeader/>
        </w:trPr>
        <w:tc>
          <w:tcPr>
            <w:tcW w:type="dxa" w:w="3600"/>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HoC 등급</w:t>
            </w:r>
          </w:p>
        </w:tc>
        <w:tc>
          <w:tcPr>
            <w:tcW w:type="dxa" w:w="15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건수</w:t>
            </w:r>
          </w:p>
        </w:tc>
        <w:tc>
          <w:tcPr>
            <w:tcW w:type="dxa" w:w="15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비율</w:t>
            </w:r>
          </w:p>
        </w:tc>
        <w:tc>
          <w:tcPr>
            <w:tcW w:type="dxa" w:w="15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누적(상위→하위)</w:t>
            </w:r>
          </w:p>
        </w:tc>
        <w:tc>
          <w:tcPr>
            <w:tcW w:type="dxa" w:w="7298"/>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비고</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위험회피</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0</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0.0%</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0.0%</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해당 항목 없음</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제거</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49</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1.5%</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1.5%</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대부분 「작업순서도 작성」 — 시공순서를 설계 산출물로 명시한 경우</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대체</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186</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5.6%</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7.1%</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전량 「시스템비계·시스템동바리 적용」</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공학적</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806</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24.4%</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31.5%</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전도방지 버팀대·이동통로·안전난간·안전캡이 대부분</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경고</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0.0%</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31.5%</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조도·표지 항목 1건</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관리적</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2194</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66.5%</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98.0%</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「구조검토 실시」·「상세도 작성」이 지배적</w:t>
            </w:r>
          </w:p>
        </w:tc>
      </w:tr>
      <w:tr>
        <w:tc>
          <w:tcPr>
            <w:tcW w:type="dxa" w:w="3600"/>
            <w:tcMar>
              <w:top w:type="dxa" w:w="40"/>
              <w:left w:type="dxa" w:w="70"/>
              <w:bottom w:type="dxa" w:w="40"/>
              <w:right w:type="dxa" w:w="70"/>
            </w:tcMar>
          </w:tcPr>
          <w:p>
            <w:r>
              <w:rPr>
                <w:rFonts w:ascii="Malgun Gothic" w:cs="Malgun Gothic" w:eastAsia="Malgun Gothic" w:hAnsi="Malgun Gothic"/>
                <w:b/>
                <w:bCs/>
                <w:sz w:val="15"/>
                <w:szCs w:val="15"/>
              </w:rPr>
              <w:t xml:space="preserve">보호구</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61</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1.9%</w:t>
            </w:r>
          </w:p>
        </w:tc>
        <w:tc>
          <w:tcPr>
            <w:tcW w:type="dxa" w:w="15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99.9%</w:t>
            </w:r>
          </w:p>
        </w:tc>
        <w:tc>
          <w:tcPr>
            <w:tcW w:type="dxa" w:w="72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안전대 부착설비·착용</w:t>
            </w:r>
          </w:p>
        </w:tc>
      </w:tr>
    </w:tbl>
    <w:p>
      <w:r>
        <w:rPr>
          <w:rFonts w:ascii="Malgun Gothic" w:cs="Malgun Gothic" w:eastAsia="Malgun Gothic" w:hAnsi="Malgun Gothic"/>
          <w:b w:val="false"/>
          <w:bCs w:val="false"/>
          <w:sz w:val="15"/>
          <w:szCs w:val="15"/>
        </w:rPr>
        <w:t xml:space="preserve"/>
      </w:r>
    </w:p>
    <w:p>
      <w:r>
        <w:rPr>
          <w:rFonts w:ascii="Malgun Gothic" w:cs="Malgun Gothic" w:eastAsia="Malgun Gothic" w:hAnsi="Malgun Gothic"/>
          <w:b/>
          <w:bCs/>
          <w:sz w:val="16"/>
          <w:szCs w:val="16"/>
        </w:rPr>
        <w:t xml:space="preserve">요약 — 상위 3단(위험회피·제거·대체)의 합계는 7.1%에 그치는 반면 관리적 통제가 66.5%를 차지한다. 설계자가 산출하는 형태로 보면 「구조검토 실시」·「상세도 작성」 등 검증·문서화가 62.1%, 물리적 조치가 29.8%이다. 4D 기하 또는 공정 변경으로 표현 가능하여 시뮬레이션에 반영할 수 있는 항목은 34.4%이다.</w:t>
      </w:r>
    </w:p>
    <w:p>
      <w:r>
        <w:rPr>
          <w:rFonts w:ascii="Malgun Gothic" w:cs="Malgun Gothic" w:eastAsia="Malgun Gothic" w:hAnsi="Malgun Gothic"/>
          <w:b w:val="false"/>
          <w:bCs w:val="false"/>
          <w:sz w:val="16"/>
          <w:szCs w:val="16"/>
        </w:rPr>
        <w:t xml:space="preserve">해석 — 국내 설계안전성검토 제도의 표준 참조자료가 위험을 제거·대체하는 설계 결정이 아니라 위험을 확인하고 문서화하는 절차에 편중되어 있음을 보인다. 이는 설계자의 역량 부족이라기보다, 상위 등급 대안의 효과를 제시할 수단이 없는 상태에서 검증·문서화가 유일하게 정당화 가능한 산출물이기 때문으로 해석된다. Cochrane 체계적 문헌고찰(CD006251)은 건축물·시공의 안전설계를 포함한 권고 개입의 대다수가 아직 평가되지 않았음을 명시하고 있으며, 이는 상위 등급 대안의 효과 계수가 부재하다는 사실과 정합한다.</w:t>
      </w:r>
    </w:p>
    <w:p>
      <w:r>
        <w:rPr>
          <w:rFonts w:ascii="Malgun Gothic" w:cs="Malgun Gothic" w:eastAsia="Malgun Gothic" w:hAnsi="Malgun Gothic"/>
          <w:b w:val="false"/>
          <w:bCs w:val="false"/>
          <w:sz w:val="15"/>
          <w:szCs w:val="15"/>
        </w:rPr>
        <w:t xml:space="preserve"/>
      </w:r>
    </w:p>
    <w:p>
      <w:pPr>
        <w:pStyle w:val="Heading2"/>
      </w:pPr>
      <w:r>
        <w:rPr>
          <w:rFonts w:ascii="Malgun Gothic" w:cs="Malgun Gothic" w:eastAsia="Malgun Gothic" w:hAnsi="Malgun Gothic"/>
          <w:b/>
          <w:bCs/>
          <w:sz w:val="20"/>
          <w:szCs w:val="20"/>
        </w:rPr>
        <w:t xml:space="preserve">C-1. 통제 원형별 분류 및 라이브러리 반영 결과</w:t>
      </w:r>
    </w:p>
    <w:p>
      <w:r>
        <w:rPr>
          <w:rFonts w:ascii="Malgun Gothic" w:cs="Malgun Gothic" w:eastAsia="Malgun Gothic" w:hAnsi="Malgun Gothic"/>
          <w:b w:val="false"/>
          <w:bCs w:val="false"/>
          <w:sz w:val="15"/>
          <w:szCs w:val="15"/>
        </w:rPr>
        <w:t xml:space="preserve"/>
      </w:r>
    </w:p>
    <w:tbl>
      <w:tblPr>
        <w:tblW w:type="dxa" w:w="16398"/>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1400"/>
        <w:gridCol w:w="1400"/>
        <w:gridCol w:w="7198"/>
      </w:tblGrid>
      <w:tr>
        <w:trPr>
          <w:tblHeader/>
        </w:trPr>
        <w:tc>
          <w:tcPr>
            <w:tcW w:type="dxa" w:w="4400"/>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통제 원형 (control archetype)</w:t>
            </w:r>
          </w:p>
        </w:tc>
        <w:tc>
          <w:tcPr>
            <w:tcW w:type="dxa" w:w="20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HoC</w:t>
            </w:r>
          </w:p>
        </w:tc>
        <w:tc>
          <w:tcPr>
            <w:tcW w:type="dxa" w:w="14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건수</w:t>
            </w:r>
          </w:p>
        </w:tc>
        <w:tc>
          <w:tcPr>
            <w:tcW w:type="dxa" w:w="1400"/>
            <w:shd w:fill="D9E2F3" w:color="auto" w:val="clear"/>
            <w:tcMar>
              <w:top w:type="dxa" w:w="40"/>
              <w:left w:type="dxa" w:w="70"/>
              <w:bottom w:type="dxa" w:w="40"/>
              <w:right w:type="dxa" w:w="70"/>
            </w:tcMar>
          </w:tcPr>
          <w:p>
            <w:pPr>
              <w:jc w:val="center"/>
            </w:pPr>
            <w:r>
              <w:rPr>
                <w:rFonts w:ascii="Malgun Gothic" w:cs="Malgun Gothic" w:eastAsia="Malgun Gothic" w:hAnsi="Malgun Gothic"/>
                <w:b/>
                <w:bCs/>
                <w:sz w:val="15"/>
                <w:szCs w:val="15"/>
              </w:rPr>
              <w:t xml:space="preserve">시뮬레이션</w:t>
            </w:r>
          </w:p>
        </w:tc>
        <w:tc>
          <w:tcPr>
            <w:tcW w:type="dxa" w:w="7198"/>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라이브러리 반영</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거푸집·동바리 구조검토 및 조립도 작성</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관리적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1209</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불가</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기존 KE_T_CP_02와 중복 — 추가 없음</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기타(미분류)</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관리적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837</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불가</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검증·문서화 계열 — 시뮬레이션 반영 불가</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철근 전도방지 버팀대·상세도</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243</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KE_K_RB_03</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시스템비계·시스템동바리 적용(재래식 대체)</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대체</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186</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KE_K_FE_10 / KE_K_CP_07</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작업자 전용 이동통로·작업발판 확보(동선 분리)</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167</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KE_K_RB_02</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안전난간·추락방호시설 설치</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92</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기존 KE_M_Fall_*_02와 중복</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동바리 존치기간·해체시기 도면 명기</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관리적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90</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KE_K_FS_02</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철근 안전캡 설치(찔림 방지)</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72</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KE_K_PI_01 (재해유형 신설)</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안전대 부착설비·착용</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보호구</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61</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기존 KE_H001_08과 중복</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데크플레이트 접합부·시공 상세계획</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59</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불가</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기존 KE_S_FE_08 인접 — 미채택</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시공·조립·해체 순서도 작성</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제거</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49</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KE_K_CP_09</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적재하중 표기·자재 적치 계획</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47</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KE_K_HS_05</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사전 점검·확인 절차</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관리적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47</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불가</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미채택(검증)</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가설울타리·현장통제 계획</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38</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KE_K_HS_06</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개구부 덮개·방호 조치</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37</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기존 KE_M_Fall_FormErection_01과 중복</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낙하물방지망·방호선반 설치</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25</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기존 KE_T_HS_02와 중복</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가설배치도·동선계획(차량·장비 분리)</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12</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KE_K_ST_03</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동바리 지지 지반 평탄화·버림콘크리트</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11</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KE_K_FE_11</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가설기자재 인증품 반입·반입시험 명시</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관리적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11</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불가</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KE_K_CP_08</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기계 방호장치(가공기 덮개·과상승방지 등)</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공학적</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3</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KE_K_CA_02 / KE_K_CA_03</w:t>
            </w:r>
          </w:p>
        </w:tc>
      </w:tr>
      <w:tr>
        <w:tc>
          <w:tcPr>
            <w:tcW w:type="dxa" w:w="4400"/>
            <w:tcMar>
              <w:top w:type="dxa" w:w="40"/>
              <w:left w:type="dxa" w:w="70"/>
              <w:bottom w:type="dxa" w:w="40"/>
              <w:right w:type="dxa" w:w="70"/>
            </w:tcMar>
          </w:tcPr>
          <w:p>
            <w:r>
              <w:rPr>
                <w:rFonts w:ascii="Malgun Gothic" w:cs="Malgun Gothic" w:eastAsia="Malgun Gothic" w:hAnsi="Malgun Gothic"/>
                <w:b w:val="false"/>
                <w:bCs w:val="false"/>
                <w:sz w:val="15"/>
                <w:szCs w:val="15"/>
              </w:rPr>
              <w:t xml:space="preserve">조도 확보·시인성 표지</w:t>
            </w:r>
          </w:p>
        </w:tc>
        <w:tc>
          <w:tcPr>
            <w:tcW w:type="dxa" w:w="20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경고</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1</w:t>
            </w:r>
          </w:p>
        </w:tc>
        <w:tc>
          <w:tcPr>
            <w:tcW w:type="dxa" w:w="1400"/>
            <w:tcMar>
              <w:top w:type="dxa" w:w="40"/>
              <w:left w:type="dxa" w:w="70"/>
              <w:bottom w:type="dxa" w:w="40"/>
              <w:right w:type="dxa" w:w="70"/>
            </w:tcMar>
          </w:tcPr>
          <w:p>
            <w:pPr>
              <w:jc w:val="center"/>
            </w:pPr>
            <w:r>
              <w:rPr>
                <w:rFonts w:ascii="Malgun Gothic" w:cs="Malgun Gothic" w:eastAsia="Malgun Gothic" w:hAnsi="Malgun Gothic"/>
                <w:b w:val="false"/>
                <w:bCs w:val="false"/>
                <w:sz w:val="15"/>
                <w:szCs w:val="15"/>
              </w:rPr>
              <w:t xml:space="preserve">가능</w:t>
            </w:r>
          </w:p>
        </w:tc>
        <w:tc>
          <w:tcPr>
            <w:tcW w:type="dxa" w:w="7198"/>
            <w:tcMar>
              <w:top w:type="dxa" w:w="40"/>
              <w:left w:type="dxa" w:w="70"/>
              <w:bottom w:type="dxa" w:w="40"/>
              <w:right w:type="dxa" w:w="70"/>
            </w:tcMar>
          </w:tcPr>
          <w:p>
            <w:r>
              <w:rPr>
                <w:rFonts w:ascii="Malgun Gothic" w:cs="Malgun Gothic" w:eastAsia="Malgun Gothic" w:hAnsi="Malgun Gothic"/>
                <w:b w:val="false"/>
                <w:bCs w:val="false"/>
                <w:sz w:val="15"/>
                <w:szCs w:val="15"/>
              </w:rPr>
              <w:t xml:space="preserve">신규 KE_K_TR_08 (기존 계수 전거 보강)</w:t>
            </w:r>
          </w:p>
        </w:tc>
      </w:tr>
    </w:tbl>
    <w:p>
      <w:pPr>
        <w:pStyle w:val="Heading1"/>
        <w:pageBreakBefore/>
      </w:pPr>
      <w:r>
        <w:rPr>
          <w:rFonts w:ascii="Malgun Gothic" w:cs="Malgun Gothic" w:eastAsia="Malgun Gothic" w:hAnsi="Malgun Gothic"/>
          <w:b/>
          <w:bCs/>
          <w:sz w:val="24"/>
          <w:szCs w:val="24"/>
        </w:rPr>
        <w:t xml:space="preserve">Appendix D. v2.3 정리 권고 (ConflictResolution)</w:t>
      </w:r>
    </w:p>
    <w:p>
      <w:r>
        <w:rPr>
          <w:rFonts w:ascii="Malgun Gothic" w:cs="Malgun Gothic" w:eastAsia="Malgun Gothic" w:hAnsi="Malgun Gothic"/>
          <w:b w:val="false"/>
          <w:bCs w:val="false"/>
          <w:sz w:val="15"/>
          <w:szCs w:val="15"/>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9498"/>
      </w:tblGrid>
      <w:tr>
        <w:trPr>
          <w:tblHeader/>
        </w:trPr>
        <w:tc>
          <w:tcPr>
            <w:tcW w:type="dxa" w:w="1300"/>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ID</w:t>
            </w:r>
          </w:p>
        </w:tc>
        <w:tc>
          <w:tcPr>
            <w:tcW w:type="dxa" w:w="4600"/>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대상</w:t>
            </w:r>
          </w:p>
        </w:tc>
        <w:tc>
          <w:tcPr>
            <w:tcW w:type="dxa" w:w="9498"/>
            <w:shd w:fill="D9E2F3" w:color="auto" w:val="clear"/>
            <w:tcMar>
              <w:top w:type="dxa" w:w="40"/>
              <w:left w:type="dxa" w:w="70"/>
              <w:bottom w:type="dxa" w:w="40"/>
              <w:right w:type="dxa" w:w="70"/>
            </w:tcMar>
          </w:tcPr>
          <w:p>
            <w:r>
              <w:rPr>
                <w:rFonts w:ascii="Malgun Gothic" w:cs="Malgun Gothic" w:eastAsia="Malgun Gothic" w:hAnsi="Malgun Gothic"/>
                <w:b/>
                <w:bCs/>
                <w:sz w:val="15"/>
                <w:szCs w:val="15"/>
              </w:rPr>
              <w:t xml:space="preserve">권고</w:t>
            </w:r>
          </w:p>
        </w:tc>
      </w:tr>
      <w:tr>
        <w:tc>
          <w:tcPr>
            <w:tcW w:type="dxa" w:w="13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CR_003</w:t>
            </w:r>
          </w:p>
        </w:tc>
        <w:tc>
          <w:tcPr>
            <w:tcW w:type="dxa" w:w="46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TBM·안전교육 계열 25건</w:t>
            </w:r>
          </w:p>
        </w:tc>
        <w:tc>
          <w:tcPr>
            <w:tcW w:type="dxa" w:w="94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지시문이 동일하므로 관리적 원형 1건(KE_M_TBM_PROTOTYPE)으로 통합하고 각 셀은 참조로 처리. 시뮬레이션 산출이 항상 0이므로 커버리지 통계에서 별도 집계. KALIS 시공단계 컬럼도 동일하게 「지침 준수」로 수렴하므로 이 편중은 출처 특성이지 대책의 부재가 아님</w:t>
            </w:r>
          </w:p>
        </w:tc>
      </w:tr>
      <w:tr>
        <w:tc>
          <w:tcPr>
            <w:tcW w:type="dxa" w:w="13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CR_004</w:t>
            </w:r>
          </w:p>
        </w:tc>
        <w:tc>
          <w:tcPr>
            <w:tcW w:type="dxa" w:w="46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RULE_TRIP_LIGHT</w:t>
            </w:r>
          </w:p>
        </w:tc>
        <w:tc>
          <w:tcPr>
            <w:tcW w:type="dxa" w:w="94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evidenceLevel을 heuristic → official_data로 승격 (KE_K_TR_08 및 산안규칙 제8조). 다만 계수 0.80 자체는 여전히 미확보이므로 sensitivityTarget 유지</w:t>
            </w:r>
          </w:p>
        </w:tc>
      </w:tr>
      <w:tr>
        <w:tc>
          <w:tcPr>
            <w:tcW w:type="dxa" w:w="13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CR_005</w:t>
            </w:r>
          </w:p>
        </w:tc>
        <w:tc>
          <w:tcPr>
            <w:tcW w:type="dxa" w:w="46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재해유형 매핑</w:t>
            </w:r>
          </w:p>
        </w:tc>
        <w:tc>
          <w:tcPr>
            <w:tcW w:type="dxa" w:w="94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KALIS 인적피해 「깔림」(대상 범위 내 1,781건, 최다)은 거푸집·동바리 붕괴 기인이 대다수이므로 ACC_Collapse로, 자재·철근 전도 기인은 ACC_HitByObj로 분기 매핑. 단일 매핑 시 붕괴 채널이 왜곡됨</w:t>
            </w:r>
          </w:p>
        </w:tc>
      </w:tr>
      <w:tr>
        <w:tc>
          <w:tcPr>
            <w:tcW w:type="dxa" w:w="13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CR_006</w:t>
            </w:r>
          </w:p>
        </w:tc>
        <w:tc>
          <w:tcPr>
            <w:tcW w:type="dxa" w:w="46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ALT_CP_PC ↔ ALT_K_CP_07</w:t>
            </w:r>
          </w:p>
        </w:tc>
        <w:tc>
          <w:tcPr>
            <w:tcW w:type="dxa" w:w="94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동일 HoC 등급(대체) 내 비용 차등 대안(high vs mid). 등급 내 비교 실험의 대조쌍으로 지정</w:t>
            </w:r>
          </w:p>
        </w:tc>
      </w:tr>
      <w:tr>
        <w:tc>
          <w:tcPr>
            <w:tcW w:type="dxa" w:w="13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w:t>
            </w:r>
          </w:p>
        </w:tc>
        <w:tc>
          <w:tcPr>
            <w:tcW w:type="dxa" w:w="4600"/>
            <w:tcMar>
              <w:top w:type="dxa" w:w="40"/>
              <w:left w:type="dxa" w:w="70"/>
              <w:bottom w:type="dxa" w:w="40"/>
              <w:right w:type="dxa" w:w="70"/>
            </w:tcMar>
          </w:tcPr>
          <w:p>
            <w:r>
              <w:rPr>
                <w:rFonts w:ascii="Malgun Gothic" w:cs="Malgun Gothic" w:eastAsia="Malgun Gothic" w:hAnsi="Malgun Gothic"/>
                <w:b w:val="false"/>
                <w:bCs w:val="false"/>
                <w:sz w:val="14"/>
                <w:szCs w:val="14"/>
              </w:rPr>
              <w:t xml:space="preserve">applicableInCurrentSimulator</w:t>
            </w:r>
          </w:p>
        </w:tc>
        <w:tc>
          <w:tcPr>
            <w:tcW w:type="dxa" w:w="9498"/>
            <w:tcMar>
              <w:top w:type="dxa" w:w="40"/>
              <w:left w:type="dxa" w:w="70"/>
              <w:bottom w:type="dxa" w:w="40"/>
              <w:right w:type="dxa" w:w="70"/>
            </w:tcMar>
          </w:tcPr>
          <w:p>
            <w:r>
              <w:rPr>
                <w:rFonts w:ascii="Malgun Gothic" w:cs="Malgun Gothic" w:eastAsia="Malgun Gothic" w:hAnsi="Malgun Gothic"/>
                <w:b w:val="false"/>
                <w:bCs w:val="false"/>
                <w:sz w:val="14"/>
                <w:szCs w:val="14"/>
              </w:rPr>
              <w:t xml:space="preserve">implementationStatus로 명칭 변경(planned/implemented). 「적용 불가」가 아니라 「구현 순서」임을 명시 — H008, H009, H010, H011에 적용</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2026-07-28T10:31:26.424Z</dcterms:created>
  <dcterms:modified xsi:type="dcterms:W3CDTF">2026-07-28T10:31:26.425Z</dcterms:modified>
</cp:coreProperties>
</file>

<file path=docProps/custom.xml><?xml version="1.0" encoding="utf-8"?>
<Properties xmlns="http://schemas.openxmlformats.org/officeDocument/2006/custom-properties" xmlns:vt="http://schemas.openxmlformats.org/officeDocument/2006/docPropsVTypes"/>
</file>