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IN THE CIRCUIT COURT OF MAYCOMB COUNTY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Case: Finch v. State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PROSECUTION BRIEF - VERSION 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I. INTRODUCTION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State charges Tom Robinson with the assault of Mayella Ewell.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II. STATEMENT OF FACTS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On November 21st, the defendant was present near the Ewell residence. The accuser states that the defendant entered her home and assaulted her.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victim sustained visible injuries, including bruising and swelling.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III. ARGUMENT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Victim Identification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victim has identified the defendant as the perpetrator.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Presence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defendant was present near the scene.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Prior Interaction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defendant had previously assisted the accuser with household tasks, establishing familiarity.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IV. CONCLUSION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testimony and circumstances support a finding of guilt.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7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