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sz w:val="26"/>
          <w:szCs w:val="26"/>
        </w:rPr>
        <w:t xml:space="preserve">UNITED STATES DISTRICT COURT</w:t>
      </w:r>
    </w:p>
    <w:p>
      <w:pPr>
        <w:spacing w:before="0" w:after="80"/>
        <w:jc w:val="center"/>
      </w:pPr>
      <w:r>
        <w:rPr>
          <w:rFonts w:ascii="Times New Roman" w:cs="Times New Roman" w:eastAsia="Times New Roman" w:hAnsi="Times New Roman"/>
          <w:b/>
          <w:bCs/>
          <w:sz w:val="26"/>
          <w:szCs w:val="26"/>
        </w:rPr>
        <w:t xml:space="preserve">SOUTHERN DISTRICT OF NEW YORK</w:t>
      </w:r>
    </w:p>
    <w:p>
      <w:pP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ACME LOGISTICS INC.,</w:t>
            </w:r>
          </w:p>
        </w:tc>
        <w:tc>
          <w:tcPr>
            <w:tcW w:type="dxa" w:w="360"/>
            <w:tcBorders>
              <w:top w:val="none" w:color="FFFFFF" w:sz="0"/>
              <w:left w:val="none" w:color="FFFFFF" w:sz="0"/>
              <w:bottom w:val="none" w:color="FFFFFF" w:sz="0"/>
              <w:right w:val="single" w:color="000000" w:sz="6"/>
            </w:tcBorders>
          </w:tcPr>
          <w:p>
            <w:r>
              <w:t xml:space="preserve"/>
            </w:r>
          </w:p>
        </w:tc>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  IN THE UNITED STATES</w:t>
            </w:r>
          </w:p>
        </w:tc>
      </w:tr>
      <w:tr>
        <w:tc>
          <w:tcPr>
            <w:tcW w:type="dxa" w:w="4500"/>
            <w:tcBorders>
              <w:top w:val="none" w:color="FFFFFF" w:sz="0"/>
              <w:left w:val="none" w:color="FFFFFF" w:sz="0"/>
              <w:bottom w:val="none" w:color="FFFFFF" w:sz="0"/>
              <w:right w:val="none" w:color="FFFFFF" w:sz="0"/>
            </w:tcBorders>
          </w:tcPr>
          <w:p>
            <w:pPr>
              <w:spacing w:before="0" w:after="60"/>
              <w:jc w:val="left"/>
            </w:pPr>
            <w:r>
              <w:rPr>
                <w:rFonts w:ascii="Times New Roman" w:cs="Times New Roman" w:eastAsia="Times New Roman" w:hAnsi="Times New Roman"/>
                <w:sz w:val="24"/>
                <w:szCs w:val="24"/>
              </w:rPr>
              <w:t xml:space="preserve">           Plaintiff,</w:t>
            </w:r>
          </w:p>
        </w:tc>
        <w:tc>
          <w:tcPr>
            <w:tcW w:type="dxa" w:w="360"/>
            <w:tcBorders>
              <w:top w:val="none" w:color="FFFFFF" w:sz="0"/>
              <w:left w:val="none" w:color="FFFFFF" w:sz="0"/>
              <w:bottom w:val="none" w:color="FFFFFF" w:sz="0"/>
              <w:right w:val="single" w:color="000000" w:sz="6"/>
            </w:tcBorders>
          </w:tcPr>
          <w:p>
            <w:r>
              <w:t xml:space="preserve"/>
            </w:r>
          </w:p>
        </w:tc>
        <w:tc>
          <w:tcPr>
            <w:tcW w:type="dxa" w:w="4500"/>
            <w:tcBorders>
              <w:top w:val="none" w:color="FFFFFF" w:sz="0"/>
              <w:left w:val="none" w:color="FFFFFF" w:sz="0"/>
              <w:bottom w:val="none" w:color="FFFFFF" w:sz="0"/>
              <w:right w:val="none" w:color="FFFFFF" w:sz="0"/>
            </w:tcBorders>
          </w:tcPr>
          <w:p>
            <w:pPr>
              <w:spacing w:before="0" w:after="60"/>
            </w:pPr>
            <w:r>
              <w:rPr>
                <w:rFonts w:ascii="Times New Roman" w:cs="Times New Roman" w:eastAsia="Times New Roman" w:hAnsi="Times New Roman"/>
                <w:sz w:val="24"/>
                <w:szCs w:val="24"/>
              </w:rPr>
              <w:t xml:space="preserve">  DISTRICT COURT FOR THE</w:t>
            </w:r>
          </w:p>
        </w:tc>
      </w:tr>
      <w:tr>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v.</w:t>
            </w:r>
          </w:p>
        </w:tc>
        <w:tc>
          <w:tcPr>
            <w:tcW w:type="dxa" w:w="360"/>
            <w:tcBorders>
              <w:top w:val="none" w:color="FFFFFF" w:sz="0"/>
              <w:left w:val="none" w:color="FFFFFF" w:sz="0"/>
              <w:bottom w:val="none" w:color="FFFFFF" w:sz="0"/>
              <w:right w:val="single" w:color="000000" w:sz="6"/>
            </w:tcBorders>
          </w:tcPr>
          <w:p>
            <w:r>
              <w:t xml:space="preserve"/>
            </w:r>
          </w:p>
        </w:tc>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  SOUTHERN DISTRICT OF NEW YORK</w:t>
            </w:r>
          </w:p>
        </w:tc>
      </w:tr>
      <w:tr>
        <w:tc>
          <w:tcPr>
            <w:tcW w:type="dxa" w:w="4500"/>
            <w:tcBorders>
              <w:top w:val="none" w:color="FFFFFF" w:sz="0"/>
              <w:left w:val="none" w:color="FFFFFF" w:sz="0"/>
              <w:bottom w:val="none" w:color="FFFFFF" w:sz="0"/>
              <w:right w:val="none" w:color="FFFFFF" w:sz="0"/>
            </w:tcBorders>
          </w:tcPr>
          <w:p>
            <w:pPr>
              <w:spacing w:before="60" w:after="60"/>
            </w:pPr>
            <w:r>
              <w:rPr>
                <w:rFonts w:ascii="Times New Roman" w:cs="Times New Roman" w:eastAsia="Times New Roman" w:hAnsi="Times New Roman"/>
                <w:b/>
                <w:bCs/>
                <w:sz w:val="24"/>
                <w:szCs w:val="24"/>
              </w:rPr>
              <w:t xml:space="preserve">DATASTREAM ANALYTICS CORP.,</w:t>
            </w:r>
          </w:p>
        </w:tc>
        <w:tc>
          <w:tcPr>
            <w:tcW w:type="dxa" w:w="360"/>
            <w:tcBorders>
              <w:top w:val="none" w:color="FFFFFF" w:sz="0"/>
              <w:left w:val="none" w:color="FFFFFF" w:sz="0"/>
              <w:bottom w:val="none" w:color="FFFFFF" w:sz="0"/>
              <w:right w:val="single" w:color="000000" w:sz="6"/>
            </w:tcBorders>
          </w:tcPr>
          <w:p>
            <w:r>
              <w:t xml:space="preserve"/>
            </w:r>
          </w:p>
        </w:tc>
        <w:tc>
          <w:tcPr>
            <w:tcW w:type="dxa" w:w="4500"/>
            <w:tcBorders>
              <w:top w:val="none" w:color="FFFFFF" w:sz="0"/>
              <w:left w:val="none" w:color="FFFFFF" w:sz="0"/>
              <w:bottom w:val="none" w:color="FFFFFF" w:sz="0"/>
              <w:right w:val="none" w:color="FFFFFF" w:sz="0"/>
            </w:tcBorders>
          </w:tcPr>
          <w:p>
            <w:pPr>
              <w:spacing w:before="60" w:after="60"/>
            </w:pPr>
            <w:r>
              <w:rPr>
                <w:rFonts w:ascii="Times New Roman" w:cs="Times New Roman" w:eastAsia="Times New Roman" w:hAnsi="Times New Roman"/>
                <w:sz w:val="24"/>
                <w:szCs w:val="24"/>
              </w:rPr>
              <w:t xml:space="preserve">  Civil Action No. 1:24-cv-03871-JSR</w:t>
            </w:r>
          </w:p>
        </w:tc>
      </w:tr>
      <w:tr>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           Defendant.</w:t>
            </w:r>
          </w:p>
        </w:tc>
        <w:tc>
          <w:tcPr>
            <w:tcW w:type="dxa" w:w="360"/>
            <w:tcBorders>
              <w:top w:val="none" w:color="FFFFFF" w:sz="0"/>
              <w:left w:val="none" w:color="FFFFFF" w:sz="0"/>
              <w:bottom w:val="none" w:color="FFFFFF" w:sz="0"/>
              <w:right w:val="single" w:color="000000" w:sz="6"/>
            </w:tcBorders>
          </w:tcPr>
          <w:p>
            <w:r>
              <w:t xml:space="preserve"/>
            </w:r>
          </w:p>
        </w:tc>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  COMPLAINT AND JURY DEMAND</w:t>
            </w:r>
          </w:p>
        </w:tc>
      </w:tr>
    </w:tbl>
    <w:p>
      <w:pPr>
        <w:spacing w:before="0" w:after="200"/>
      </w:pPr>
      <w:r>
        <w:t xml:space="preserve"/>
      </w:r>
    </w:p>
    <w:p>
      <w:pPr>
        <w:spacing w:before="0" w:after="80"/>
        <w:jc w:val="center"/>
      </w:pPr>
      <w:r>
        <w:rPr>
          <w:rFonts w:ascii="Times New Roman" w:cs="Times New Roman" w:eastAsia="Times New Roman" w:hAnsi="Times New Roman"/>
          <w:b/>
          <w:bCs/>
          <w:sz w:val="26"/>
          <w:szCs w:val="26"/>
        </w:rPr>
        <w:t xml:space="preserve">COMPLAINT FOR BREACH OF CONTRACT,</w:t>
      </w:r>
    </w:p>
    <w:p>
      <w:pPr>
        <w:spacing w:before="0" w:after="80"/>
        <w:jc w:val="center"/>
      </w:pPr>
      <w:r>
        <w:rPr>
          <w:rFonts w:ascii="Times New Roman" w:cs="Times New Roman" w:eastAsia="Times New Roman" w:hAnsi="Times New Roman"/>
          <w:b/>
          <w:bCs/>
          <w:sz w:val="26"/>
          <w:szCs w:val="26"/>
        </w:rPr>
        <w:t xml:space="preserve">MISAPPROPRIATION OF TRADE SECRETS,</w:t>
      </w:r>
    </w:p>
    <w:p>
      <w:pPr>
        <w:spacing w:before="0" w:after="80"/>
        <w:jc w:val="center"/>
      </w:pPr>
      <w:r>
        <w:rPr>
          <w:rFonts w:ascii="Times New Roman" w:cs="Times New Roman" w:eastAsia="Times New Roman" w:hAnsi="Times New Roman"/>
          <w:b/>
          <w:bCs/>
          <w:sz w:val="26"/>
          <w:szCs w:val="26"/>
        </w:rPr>
        <w:t xml:space="preserve">AND BREACH OF NON-DISCLOSURE AGREEMENT</w:t>
      </w:r>
    </w:p>
    <w:p>
      <w:pPr>
        <w:spacing w:before="0" w:after="80"/>
        <w:jc w:val="center"/>
      </w:pPr>
      <w:r>
        <w:rPr>
          <w:rFonts w:ascii="Times New Roman" w:cs="Times New Roman" w:eastAsia="Times New Roman" w:hAnsi="Times New Roman"/>
          <w:b/>
          <w:bCs/>
          <w:sz w:val="24"/>
          <w:szCs w:val="24"/>
        </w:rPr>
        <w:t xml:space="preserve">(JURY TRIAL DEMANDED)</w:t>
      </w:r>
    </w:p>
    <w:p>
      <w:pPr>
        <w:spacing w:before="0" w:after="160"/>
      </w:pPr>
      <w:r>
        <w:t xml:space="preserve"/>
      </w:r>
    </w:p>
    <w:p>
      <w:pPr>
        <w:spacing w:before="0" w:after="160"/>
        <w:ind w:firstLine="720"/>
        <w:jc w:val="both"/>
      </w:pPr>
      <w:r>
        <w:rPr>
          <w:rFonts w:ascii="Times New Roman" w:cs="Times New Roman" w:eastAsia="Times New Roman" w:hAnsi="Times New Roman"/>
          <w:sz w:val="24"/>
          <w:szCs w:val="24"/>
        </w:rPr>
        <w:t xml:space="preserve">Plaintiff Acme Logistics Inc. ("Acme" or "Plaintiff"), by and through its attorneys, Northstar Counsel LLP, hereby alleges the following against Defendant DataStream Analytics Corp. ("DataStream" or "Defendant"):</w:t>
      </w:r>
    </w:p>
    <w:p>
      <w:pPr>
        <w:spacing w:before="240" w:after="160"/>
        <w:jc w:val="center"/>
      </w:pPr>
      <w:r>
        <w:rPr>
          <w:rFonts w:ascii="Times New Roman" w:cs="Times New Roman" w:eastAsia="Times New Roman" w:hAnsi="Times New Roman"/>
          <w:b/>
          <w:bCs/>
          <w:sz w:val="24"/>
          <w:szCs w:val="24"/>
          <w:u w:val="single"/>
        </w:rPr>
        <w:t xml:space="preserve">I.  THE PARTIES</w:t>
      </w:r>
    </w:p>
    <w:p>
      <w:pPr>
        <w:spacing w:before="0" w:after="160"/>
        <w:ind w:left="720" w:hanging="36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Plaintiff Acme Logistics Inc. is a corporation organized and existing under the laws of the State of New York, with its principal place of business at 450 Park Avenue, New York, NY 10022.</w:t>
      </w:r>
    </w:p>
    <w:p>
      <w:pPr>
        <w:spacing w:before="0" w:after="160"/>
        <w:ind w:left="720" w:hanging="36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Defendant DataStream Analytics Corp. is a corporation organized and existing under the laws of the State of Delaware, with its principal place of business at 1200 Hudson Street, Suite 800, Hoboken, NJ 07030, and registered to do business in the State of New York.</w:t>
      </w:r>
    </w:p>
    <w:p>
      <w:pPr>
        <w:spacing w:before="240" w:after="160"/>
        <w:jc w:val="center"/>
      </w:pPr>
      <w:r>
        <w:rPr>
          <w:rFonts w:ascii="Times New Roman" w:cs="Times New Roman" w:eastAsia="Times New Roman" w:hAnsi="Times New Roman"/>
          <w:b/>
          <w:bCs/>
          <w:sz w:val="24"/>
          <w:szCs w:val="24"/>
          <w:u w:val="single"/>
        </w:rPr>
        <w:t xml:space="preserve">II.  JURISDICTION AND VENUE</w:t>
      </w:r>
    </w:p>
    <w:p>
      <w:pPr>
        <w:spacing w:before="0" w:after="160"/>
        <w:ind w:left="720" w:hanging="360"/>
        <w:jc w:val="both"/>
      </w:pPr>
      <w:r>
        <w:rPr>
          <w:rFonts w:ascii="Times New Roman" w:cs="Times New Roman" w:eastAsia="Times New Roman" w:hAnsi="Times New Roman"/>
          <w:b w:val="false"/>
          <w:bCs w:val="false"/>
          <w:sz w:val="24"/>
          <w:szCs w:val="24"/>
        </w:rPr>
        <w:t xml:space="preserve">3.  </w:t>
      </w:r>
      <w:r>
        <w:rPr>
          <w:rFonts w:ascii="Times New Roman" w:cs="Times New Roman" w:eastAsia="Times New Roman" w:hAnsi="Times New Roman"/>
          <w:b w:val="false"/>
          <w:bCs w:val="false"/>
          <w:sz w:val="24"/>
          <w:szCs w:val="24"/>
        </w:rPr>
        <w:t xml:space="preserve">This Court has subject matter jurisdiction over this action pursuant to 28 U.S.C. § 1332(a) because the parties are citizens of different states and the amount in controversy exceeds $75,000, exclusive of interest and costs.</w:t>
      </w:r>
    </w:p>
    <w:p>
      <w:pPr>
        <w:spacing w:before="0" w:after="160"/>
        <w:ind w:left="720" w:hanging="360"/>
        <w:jc w:val="both"/>
      </w:pPr>
      <w:r>
        <w:rPr>
          <w:rFonts w:ascii="Times New Roman" w:cs="Times New Roman" w:eastAsia="Times New Roman" w:hAnsi="Times New Roman"/>
          <w:b w:val="false"/>
          <w:bCs w:val="false"/>
          <w:sz w:val="24"/>
          <w:szCs w:val="24"/>
        </w:rPr>
        <w:t xml:space="preserve">4.  </w:t>
      </w:r>
      <w:r>
        <w:rPr>
          <w:rFonts w:ascii="Times New Roman" w:cs="Times New Roman" w:eastAsia="Times New Roman" w:hAnsi="Times New Roman"/>
          <w:b w:val="false"/>
          <w:bCs w:val="false"/>
          <w:sz w:val="24"/>
          <w:szCs w:val="24"/>
        </w:rPr>
        <w:t xml:space="preserve">This Court also has federal question jurisdiction under 28 U.S.C. § 1331 and 18 U.S.C. § 1836 et seq. (Defend Trade Secrets Act of 2016).</w:t>
      </w:r>
    </w:p>
    <w:p>
      <w:pPr>
        <w:spacing w:before="0" w:after="160"/>
        <w:ind w:left="720" w:hanging="360"/>
        <w:jc w:val="both"/>
      </w:pPr>
      <w:r>
        <w:rPr>
          <w:rFonts w:ascii="Times New Roman" w:cs="Times New Roman" w:eastAsia="Times New Roman" w:hAnsi="Times New Roman"/>
          <w:b w:val="false"/>
          <w:bCs w:val="false"/>
          <w:sz w:val="24"/>
          <w:szCs w:val="24"/>
        </w:rPr>
        <w:t xml:space="preserve">5.  </w:t>
      </w:r>
      <w:r>
        <w:rPr>
          <w:rFonts w:ascii="Times New Roman" w:cs="Times New Roman" w:eastAsia="Times New Roman" w:hAnsi="Times New Roman"/>
          <w:b w:val="false"/>
          <w:bCs w:val="false"/>
          <w:sz w:val="24"/>
          <w:szCs w:val="24"/>
        </w:rPr>
        <w:t xml:space="preserve">Venue is proper in this District pursuant to 28 U.S.C. § 1391(b) because a substantial part of the events giving rise to the claims occurred in this District, and the Non-Disclosure Agreement at issue designates the State of New York as the governing law and forum.</w:t>
      </w:r>
    </w:p>
    <w:p>
      <w:pPr>
        <w:spacing w:before="240" w:after="160"/>
        <w:jc w:val="center"/>
      </w:pPr>
      <w:r>
        <w:rPr>
          <w:rFonts w:ascii="Times New Roman" w:cs="Times New Roman" w:eastAsia="Times New Roman" w:hAnsi="Times New Roman"/>
          <w:b/>
          <w:bCs/>
          <w:sz w:val="24"/>
          <w:szCs w:val="24"/>
          <w:u w:val="single"/>
        </w:rPr>
        <w:t xml:space="preserve">III.  FACTUAL BACKGROUND</w:t>
      </w:r>
    </w:p>
    <w:p>
      <w:pPr>
        <w:spacing w:before="200" w:after="120"/>
      </w:pPr>
      <w:r>
        <w:rPr>
          <w:rFonts w:ascii="Times New Roman" w:cs="Times New Roman" w:eastAsia="Times New Roman" w:hAnsi="Times New Roman"/>
          <w:b/>
          <w:bCs/>
          <w:sz w:val="24"/>
          <w:szCs w:val="24"/>
        </w:rPr>
        <w:t xml:space="preserve">A.  The Data Breach and Engagement of Counsel</w:t>
      </w:r>
    </w:p>
    <w:p>
      <w:pPr>
        <w:spacing w:before="0" w:after="160"/>
        <w:ind w:left="720" w:hanging="360"/>
        <w:jc w:val="both"/>
      </w:pPr>
      <w:r>
        <w:rPr>
          <w:rFonts w:ascii="Times New Roman" w:cs="Times New Roman" w:eastAsia="Times New Roman" w:hAnsi="Times New Roman"/>
          <w:b w:val="false"/>
          <w:bCs w:val="false"/>
          <w:sz w:val="24"/>
          <w:szCs w:val="24"/>
        </w:rPr>
        <w:t xml:space="preserve">6.  </w:t>
      </w:r>
      <w:r>
        <w:rPr>
          <w:rFonts w:ascii="Times New Roman" w:cs="Times New Roman" w:eastAsia="Times New Roman" w:hAnsi="Times New Roman"/>
          <w:b w:val="false"/>
          <w:bCs w:val="false"/>
          <w:sz w:val="24"/>
          <w:szCs w:val="24"/>
        </w:rPr>
        <w:t xml:space="preserve">On or about February 2, 2024, Acme Logistics discovered a significant data security incident affecting its proprietary logistics management platform, "LogiCore," and associated customer data (the "Data Breach").</w:t>
      </w:r>
    </w:p>
    <w:p>
      <w:pPr>
        <w:spacing w:before="0" w:after="160"/>
        <w:ind w:left="720" w:hanging="360"/>
        <w:jc w:val="both"/>
      </w:pPr>
      <w:r>
        <w:rPr>
          <w:rFonts w:ascii="Times New Roman" w:cs="Times New Roman" w:eastAsia="Times New Roman" w:hAnsi="Times New Roman"/>
          <w:b w:val="false"/>
          <w:bCs w:val="false"/>
          <w:sz w:val="24"/>
          <w:szCs w:val="24"/>
        </w:rPr>
        <w:t xml:space="preserve">7.  </w:t>
      </w:r>
      <w:r>
        <w:rPr>
          <w:rFonts w:ascii="Times New Roman" w:cs="Times New Roman" w:eastAsia="Times New Roman" w:hAnsi="Times New Roman"/>
          <w:b w:val="false"/>
          <w:bCs w:val="false"/>
          <w:sz w:val="24"/>
          <w:szCs w:val="24"/>
        </w:rPr>
        <w:t xml:space="preserve">In connection with the investigation of the Data Breach, Acme engaged Northstar Counsel LLP as outside legal counsel. To facilitate that engagement, Acme and Northstar Counsel executed a Non-Disclosure Agreement dated January 15, 2024 (the "NDA"), a true and accurate copy of which is attached hereto as Exhibit A.</w:t>
      </w:r>
    </w:p>
    <w:p>
      <w:pPr>
        <w:spacing w:before="0" w:after="160"/>
        <w:ind w:left="720" w:hanging="360"/>
        <w:jc w:val="both"/>
      </w:pPr>
      <w:r>
        <w:rPr>
          <w:rFonts w:ascii="Times New Roman" w:cs="Times New Roman" w:eastAsia="Times New Roman" w:hAnsi="Times New Roman"/>
          <w:b w:val="false"/>
          <w:bCs w:val="false"/>
          <w:sz w:val="24"/>
          <w:szCs w:val="24"/>
        </w:rPr>
        <w:t xml:space="preserve">8.  </w:t>
      </w:r>
      <w:r>
        <w:rPr>
          <w:rFonts w:ascii="Times New Roman" w:cs="Times New Roman" w:eastAsia="Times New Roman" w:hAnsi="Times New Roman"/>
          <w:b w:val="false"/>
          <w:bCs w:val="false"/>
          <w:sz w:val="24"/>
          <w:szCs w:val="24"/>
        </w:rPr>
        <w:t xml:space="preserve">Pursuant to the NDA, Acme disclosed to Northstar Counsel confidential and proprietary information including, without limitation: (i) the technical architecture of the LogiCore platform; (ii) the identities of approximately 84,000 affected customer records; (iii) the names of two internal data repositories designated "LCORE-DB-01" and "LCORE-DB-02"; and (iv) Acme's internal incident response procedures (collectively, the "Confidential Information").</w:t>
      </w:r>
    </w:p>
    <w:p>
      <w:pPr>
        <w:spacing w:before="0" w:after="160"/>
        <w:ind w:left="720" w:hanging="360"/>
        <w:jc w:val="both"/>
      </w:pPr>
      <w:r>
        <w:rPr>
          <w:rFonts w:ascii="Times New Roman" w:cs="Times New Roman" w:eastAsia="Times New Roman" w:hAnsi="Times New Roman"/>
          <w:b w:val="false"/>
          <w:bCs w:val="false"/>
          <w:sz w:val="24"/>
          <w:szCs w:val="24"/>
        </w:rPr>
        <w:t xml:space="preserve">9.  </w:t>
      </w:r>
      <w:r>
        <w:rPr>
          <w:rFonts w:ascii="Times New Roman" w:cs="Times New Roman" w:eastAsia="Times New Roman" w:hAnsi="Times New Roman"/>
          <w:b w:val="false"/>
          <w:bCs w:val="false"/>
          <w:sz w:val="24"/>
          <w:szCs w:val="24"/>
        </w:rPr>
        <w:t xml:space="preserve">The NDA expressly limits use of Confidential Information to the "Permitted Purpose," defined as the evaluation and rendering of legal services in connection with the Data Breach investigation. See NDA, Article 1.2.</w:t>
      </w:r>
    </w:p>
    <w:p>
      <w:pPr>
        <w:spacing w:before="200" w:after="120"/>
      </w:pPr>
      <w:r>
        <w:rPr>
          <w:rFonts w:ascii="Times New Roman" w:cs="Times New Roman" w:eastAsia="Times New Roman" w:hAnsi="Times New Roman"/>
          <w:b/>
          <w:bCs/>
          <w:sz w:val="24"/>
          <w:szCs w:val="24"/>
        </w:rPr>
        <w:t xml:space="preserve">B.  The Unauthorized Disclosure</w:t>
      </w:r>
    </w:p>
    <w:p>
      <w:pPr>
        <w:spacing w:before="0" w:after="160"/>
        <w:ind w:left="720" w:hanging="360"/>
        <w:jc w:val="both"/>
      </w:pPr>
      <w:r>
        <w:rPr>
          <w:rFonts w:ascii="Times New Roman" w:cs="Times New Roman" w:eastAsia="Times New Roman" w:hAnsi="Times New Roman"/>
          <w:b w:val="false"/>
          <w:bCs w:val="false"/>
          <w:sz w:val="24"/>
          <w:szCs w:val="24"/>
        </w:rPr>
        <w:t xml:space="preserve">10.  </w:t>
      </w:r>
      <w:r>
        <w:rPr>
          <w:rFonts w:ascii="Times New Roman" w:cs="Times New Roman" w:eastAsia="Times New Roman" w:hAnsi="Times New Roman"/>
          <w:b w:val="false"/>
          <w:bCs w:val="false"/>
          <w:sz w:val="24"/>
          <w:szCs w:val="24"/>
        </w:rPr>
        <w:t xml:space="preserve">On March 4, 2024, a reporter from the New York Chronicle contacted Acme's public relations department with specific, non-public details regarding the Data Breach. The reporter cited the number of affected records (84,000), the internal system designations "LCORE-DB-01" and "LCORE-DB-02," and other operational details that had been disclosed exclusively to Northstar Counsel under the NDA.</w:t>
      </w:r>
    </w:p>
    <w:p>
      <w:pPr>
        <w:spacing w:before="0" w:after="160"/>
        <w:ind w:left="720" w:hanging="360"/>
        <w:jc w:val="both"/>
      </w:pPr>
      <w:r>
        <w:rPr>
          <w:rFonts w:ascii="Times New Roman" w:cs="Times New Roman" w:eastAsia="Times New Roman" w:hAnsi="Times New Roman"/>
          <w:b w:val="false"/>
          <w:bCs w:val="false"/>
          <w:sz w:val="24"/>
          <w:szCs w:val="24"/>
        </w:rPr>
        <w:t xml:space="preserve">11.  </w:t>
      </w:r>
      <w:r>
        <w:rPr>
          <w:rFonts w:ascii="Times New Roman" w:cs="Times New Roman" w:eastAsia="Times New Roman" w:hAnsi="Times New Roman"/>
          <w:b w:val="false"/>
          <w:bCs w:val="false"/>
          <w:sz w:val="24"/>
          <w:szCs w:val="24"/>
        </w:rPr>
        <w:t xml:space="preserve">Following this contact, Acme's VP of IT Security, Kevin Marsh, conducted a forensic review of Acme's secure document-sharing portal. That review revealed that the disclosure package transmitted to Northstar Counsel on January 22, 2024, was accessed on February 28, 2024, at 11:14 PM from an IP address resolving to a residential internet service provider in Hoboken, New Jersey.</w:t>
      </w:r>
    </w:p>
    <w:p>
      <w:pPr>
        <w:spacing w:before="0" w:after="160"/>
        <w:ind w:left="720" w:hanging="360"/>
        <w:jc w:val="both"/>
      </w:pPr>
      <w:r>
        <w:rPr>
          <w:rFonts w:ascii="Times New Roman" w:cs="Times New Roman" w:eastAsia="Times New Roman" w:hAnsi="Times New Roman"/>
          <w:b w:val="false"/>
          <w:bCs w:val="false"/>
          <w:sz w:val="24"/>
          <w:szCs w:val="24"/>
        </w:rPr>
        <w:t xml:space="preserve">12.  </w:t>
      </w:r>
      <w:r>
        <w:rPr>
          <w:rFonts w:ascii="Times New Roman" w:cs="Times New Roman" w:eastAsia="Times New Roman" w:hAnsi="Times New Roman"/>
          <w:b w:val="false"/>
          <w:bCs w:val="false"/>
          <w:sz w:val="24"/>
          <w:szCs w:val="24"/>
        </w:rPr>
        <w:t xml:space="preserve">Upon investigation, the Hoboken IP address was determined to be registered to DataStream Analytics Corp., a direct competitor of Acme in the logistics technology sector.</w:t>
      </w:r>
    </w:p>
    <w:p>
      <w:pPr>
        <w:spacing w:before="0" w:after="160"/>
        <w:ind w:left="720" w:hanging="360"/>
        <w:jc w:val="both"/>
      </w:pPr>
      <w:r>
        <w:rPr>
          <w:rFonts w:ascii="Times New Roman" w:cs="Times New Roman" w:eastAsia="Times New Roman" w:hAnsi="Times New Roman"/>
          <w:b w:val="false"/>
          <w:bCs w:val="false"/>
          <w:sz w:val="24"/>
          <w:szCs w:val="24"/>
        </w:rPr>
        <w:t xml:space="preserve">13.  </w:t>
      </w:r>
      <w:r>
        <w:rPr>
          <w:rFonts w:ascii="Times New Roman" w:cs="Times New Roman" w:eastAsia="Times New Roman" w:hAnsi="Times New Roman"/>
          <w:b w:val="false"/>
          <w:bCs w:val="false"/>
          <w:sz w:val="24"/>
          <w:szCs w:val="24"/>
        </w:rPr>
        <w:t xml:space="preserve">DataStream was not a party to the NDA. DataStream had no authorization, express or implied, to access Acme's Confidential Information. The unauthorized access was obtained through the compromise of a portal access credential belonging to an individual who had formerly worked at both Northstar Counsel and DataStream.</w:t>
      </w:r>
    </w:p>
    <w:p>
      <w:pPr>
        <w:spacing w:before="0" w:after="160"/>
        <w:ind w:left="720" w:hanging="360"/>
        <w:jc w:val="both"/>
      </w:pPr>
      <w:r>
        <w:rPr>
          <w:rFonts w:ascii="Times New Roman" w:cs="Times New Roman" w:eastAsia="Times New Roman" w:hAnsi="Times New Roman"/>
          <w:b w:val="false"/>
          <w:bCs w:val="false"/>
          <w:sz w:val="24"/>
          <w:szCs w:val="24"/>
        </w:rPr>
        <w:t xml:space="preserve">14.  </w:t>
      </w:r>
      <w:r>
        <w:rPr>
          <w:rFonts w:ascii="Times New Roman" w:cs="Times New Roman" w:eastAsia="Times New Roman" w:hAnsi="Times New Roman"/>
          <w:b w:val="false"/>
          <w:bCs w:val="false"/>
          <w:sz w:val="24"/>
          <w:szCs w:val="24"/>
        </w:rPr>
        <w:t xml:space="preserve">The New York Chronicle article was published on March 7, 2024, disclosing material details of the Data Breach to the public, causing immediate and substantial harm to Acme's reputation, client relationships, and ongoing regulatory negotiations.</w:t>
      </w:r>
    </w:p>
    <w:p>
      <w:pPr>
        <w:spacing w:before="200" w:after="120"/>
      </w:pPr>
      <w:r>
        <w:rPr>
          <w:rFonts w:ascii="Times New Roman" w:cs="Times New Roman" w:eastAsia="Times New Roman" w:hAnsi="Times New Roman"/>
          <w:b/>
          <w:bCs/>
          <w:sz w:val="24"/>
          <w:szCs w:val="24"/>
        </w:rPr>
        <w:t xml:space="preserve">C.  DataStream's Misuse of Trade Secrets</w:t>
      </w:r>
    </w:p>
    <w:p>
      <w:pPr>
        <w:spacing w:before="0" w:after="160"/>
        <w:ind w:left="720" w:hanging="360"/>
        <w:jc w:val="both"/>
      </w:pPr>
      <w:r>
        <w:rPr>
          <w:rFonts w:ascii="Times New Roman" w:cs="Times New Roman" w:eastAsia="Times New Roman" w:hAnsi="Times New Roman"/>
          <w:b w:val="false"/>
          <w:bCs w:val="false"/>
          <w:sz w:val="24"/>
          <w:szCs w:val="24"/>
        </w:rPr>
        <w:t xml:space="preserve">15.  </w:t>
      </w:r>
      <w:r>
        <w:rPr>
          <w:rFonts w:ascii="Times New Roman" w:cs="Times New Roman" w:eastAsia="Times New Roman" w:hAnsi="Times New Roman"/>
          <w:b w:val="false"/>
          <w:bCs w:val="false"/>
          <w:sz w:val="24"/>
          <w:szCs w:val="24"/>
        </w:rPr>
        <w:t xml:space="preserve">On information and belief, DataStream used the Confidential Information it obtained to solicit at least eleven (11) of Acme's enterprise logistics clients, falsely representing that Acme's platform was insecure and directing those clients toward DataStream's competing services.</w:t>
      </w:r>
    </w:p>
    <w:p>
      <w:pPr>
        <w:spacing w:before="0" w:after="160"/>
        <w:ind w:left="720" w:hanging="360"/>
        <w:jc w:val="both"/>
      </w:pPr>
      <w:r>
        <w:rPr>
          <w:rFonts w:ascii="Times New Roman" w:cs="Times New Roman" w:eastAsia="Times New Roman" w:hAnsi="Times New Roman"/>
          <w:b w:val="false"/>
          <w:bCs w:val="false"/>
          <w:sz w:val="24"/>
          <w:szCs w:val="24"/>
        </w:rPr>
        <w:t xml:space="preserve">16.  </w:t>
      </w:r>
      <w:r>
        <w:rPr>
          <w:rFonts w:ascii="Times New Roman" w:cs="Times New Roman" w:eastAsia="Times New Roman" w:hAnsi="Times New Roman"/>
          <w:b w:val="false"/>
          <w:bCs w:val="false"/>
          <w:sz w:val="24"/>
          <w:szCs w:val="24"/>
        </w:rPr>
        <w:t xml:space="preserve">On information and belief, DataStream further used information regarding the architecture of the LogiCore platform, obtained through unauthorized access, to accelerate the development of its own competing product, "StreamCore," which launched in May 2024.</w:t>
      </w:r>
    </w:p>
    <w:p>
      <w:pPr>
        <w:spacing w:before="240" w:after="160"/>
        <w:jc w:val="center"/>
      </w:pPr>
      <w:r>
        <w:rPr>
          <w:rFonts w:ascii="Times New Roman" w:cs="Times New Roman" w:eastAsia="Times New Roman" w:hAnsi="Times New Roman"/>
          <w:b/>
          <w:bCs/>
          <w:sz w:val="24"/>
          <w:szCs w:val="24"/>
          <w:u w:val="single"/>
        </w:rPr>
        <w:t xml:space="preserve">IV.  CAUSES OF ACTION</w:t>
      </w:r>
    </w:p>
    <w:p>
      <w:pPr>
        <w:spacing w:before="200" w:after="120"/>
      </w:pPr>
      <w:r>
        <w:rPr>
          <w:rFonts w:ascii="Times New Roman" w:cs="Times New Roman" w:eastAsia="Times New Roman" w:hAnsi="Times New Roman"/>
          <w:b/>
          <w:bCs/>
          <w:sz w:val="24"/>
          <w:szCs w:val="24"/>
        </w:rPr>
        <w:t xml:space="preserve">COUNT I — Breach of Non-Disclosure Agreement</w:t>
      </w:r>
    </w:p>
    <w:p>
      <w:pPr>
        <w:spacing w:before="0" w:after="160"/>
        <w:ind w:firstLine="720"/>
        <w:jc w:val="both"/>
      </w:pPr>
      <w:r>
        <w:rPr>
          <w:rFonts w:ascii="Times New Roman" w:cs="Times New Roman" w:eastAsia="Times New Roman" w:hAnsi="Times New Roman"/>
          <w:sz w:val="24"/>
          <w:szCs w:val="24"/>
        </w:rPr>
        <w:t xml:space="preserve">(Against DataStream Analytics Corp. as Third-Party Tortfeasor)</w:t>
      </w:r>
    </w:p>
    <w:p>
      <w:pPr>
        <w:spacing w:before="0" w:after="160"/>
        <w:ind w:left="720" w:hanging="360"/>
        <w:jc w:val="both"/>
      </w:pPr>
      <w:r>
        <w:rPr>
          <w:rFonts w:ascii="Times New Roman" w:cs="Times New Roman" w:eastAsia="Times New Roman" w:hAnsi="Times New Roman"/>
          <w:b w:val="false"/>
          <w:bCs w:val="false"/>
          <w:sz w:val="24"/>
          <w:szCs w:val="24"/>
        </w:rPr>
        <w:t xml:space="preserve">17.  </w:t>
      </w:r>
      <w:r>
        <w:rPr>
          <w:rFonts w:ascii="Times New Roman" w:cs="Times New Roman" w:eastAsia="Times New Roman" w:hAnsi="Times New Roman"/>
          <w:b w:val="false"/>
          <w:bCs w:val="false"/>
          <w:sz w:val="24"/>
          <w:szCs w:val="24"/>
        </w:rPr>
        <w:t xml:space="preserve">Plaintiff incorporates by reference all preceding paragraphs as if fully set forth herein.</w:t>
      </w:r>
    </w:p>
    <w:p>
      <w:pPr>
        <w:spacing w:before="0" w:after="160"/>
        <w:ind w:left="720" w:hanging="360"/>
        <w:jc w:val="both"/>
      </w:pPr>
      <w:r>
        <w:rPr>
          <w:rFonts w:ascii="Times New Roman" w:cs="Times New Roman" w:eastAsia="Times New Roman" w:hAnsi="Times New Roman"/>
          <w:b w:val="false"/>
          <w:bCs w:val="false"/>
          <w:sz w:val="24"/>
          <w:szCs w:val="24"/>
        </w:rPr>
        <w:t xml:space="preserve">18.  </w:t>
      </w:r>
      <w:r>
        <w:rPr>
          <w:rFonts w:ascii="Times New Roman" w:cs="Times New Roman" w:eastAsia="Times New Roman" w:hAnsi="Times New Roman"/>
          <w:b w:val="false"/>
          <w:bCs w:val="false"/>
          <w:sz w:val="24"/>
          <w:szCs w:val="24"/>
        </w:rPr>
        <w:t xml:space="preserve">The NDA constitutes a valid and enforceable contract between Acme and the recipients of Confidential Information. Article 2.1 of the NDA imposes obligations to protect Confidential Information using no less than reasonable care. Article 2.3 restricts use of Confidential Information to the Permitted Purpose only.</w:t>
      </w:r>
    </w:p>
    <w:p>
      <w:pPr>
        <w:spacing w:before="0" w:after="160"/>
        <w:ind w:left="720" w:hanging="360"/>
        <w:jc w:val="both"/>
      </w:pPr>
      <w:r>
        <w:rPr>
          <w:rFonts w:ascii="Times New Roman" w:cs="Times New Roman" w:eastAsia="Times New Roman" w:hAnsi="Times New Roman"/>
          <w:b w:val="false"/>
          <w:bCs w:val="false"/>
          <w:sz w:val="24"/>
          <w:szCs w:val="24"/>
        </w:rPr>
        <w:t xml:space="preserve">19.  </w:t>
      </w:r>
      <w:r>
        <w:rPr>
          <w:rFonts w:ascii="Times New Roman" w:cs="Times New Roman" w:eastAsia="Times New Roman" w:hAnsi="Times New Roman"/>
          <w:b w:val="false"/>
          <w:bCs w:val="false"/>
          <w:sz w:val="24"/>
          <w:szCs w:val="24"/>
        </w:rPr>
        <w:t xml:space="preserve">By accessing Acme's Confidential Information without authorization and using that information to solicit Acme's clients and develop a competing product, DataStream caused and participated in material breaches of the NDA's confidentiality obligations.</w:t>
      </w:r>
    </w:p>
    <w:p>
      <w:pPr>
        <w:spacing w:before="0" w:after="160"/>
        <w:ind w:left="720" w:hanging="360"/>
        <w:jc w:val="both"/>
      </w:pPr>
      <w:r>
        <w:rPr>
          <w:rFonts w:ascii="Times New Roman" w:cs="Times New Roman" w:eastAsia="Times New Roman" w:hAnsi="Times New Roman"/>
          <w:b w:val="false"/>
          <w:bCs w:val="false"/>
          <w:sz w:val="24"/>
          <w:szCs w:val="24"/>
        </w:rPr>
        <w:t xml:space="preserve">20.  </w:t>
      </w:r>
      <w:r>
        <w:rPr>
          <w:rFonts w:ascii="Times New Roman" w:cs="Times New Roman" w:eastAsia="Times New Roman" w:hAnsi="Times New Roman"/>
          <w:b w:val="false"/>
          <w:bCs w:val="false"/>
          <w:sz w:val="24"/>
          <w:szCs w:val="24"/>
        </w:rPr>
        <w:t xml:space="preserve">As a direct and proximate result of these breaches, Acme has suffered damages in an amount to be determined at trial, but believed to exceed $4,500,000, together with equitable relief as set forth herein.</w:t>
      </w:r>
    </w:p>
    <w:p>
      <w:pPr>
        <w:spacing w:before="200" w:after="120"/>
      </w:pPr>
      <w:r>
        <w:rPr>
          <w:rFonts w:ascii="Times New Roman" w:cs="Times New Roman" w:eastAsia="Times New Roman" w:hAnsi="Times New Roman"/>
          <w:b/>
          <w:bCs/>
          <w:sz w:val="24"/>
          <w:szCs w:val="24"/>
        </w:rPr>
        <w:t xml:space="preserve">COUNT II — Misappropriation of Trade Secrets</w:t>
      </w:r>
    </w:p>
    <w:p>
      <w:pPr>
        <w:spacing w:before="0" w:after="160"/>
        <w:ind w:firstLine="720"/>
        <w:jc w:val="both"/>
      </w:pPr>
      <w:r>
        <w:rPr>
          <w:rFonts w:ascii="Times New Roman" w:cs="Times New Roman" w:eastAsia="Times New Roman" w:hAnsi="Times New Roman"/>
          <w:sz w:val="24"/>
          <w:szCs w:val="24"/>
        </w:rPr>
        <w:t xml:space="preserve">(Federal Defend Trade Secrets Act, 18 U.S.C. § 1836; New York Uniform Trade Secrets Act)</w:t>
      </w:r>
    </w:p>
    <w:p>
      <w:pPr>
        <w:spacing w:before="0" w:after="160"/>
        <w:ind w:left="720" w:hanging="360"/>
        <w:jc w:val="both"/>
      </w:pPr>
      <w:r>
        <w:rPr>
          <w:rFonts w:ascii="Times New Roman" w:cs="Times New Roman" w:eastAsia="Times New Roman" w:hAnsi="Times New Roman"/>
          <w:b w:val="false"/>
          <w:bCs w:val="false"/>
          <w:sz w:val="24"/>
          <w:szCs w:val="24"/>
        </w:rPr>
        <w:t xml:space="preserve">21.  </w:t>
      </w:r>
      <w:r>
        <w:rPr>
          <w:rFonts w:ascii="Times New Roman" w:cs="Times New Roman" w:eastAsia="Times New Roman" w:hAnsi="Times New Roman"/>
          <w:b w:val="false"/>
          <w:bCs w:val="false"/>
          <w:sz w:val="24"/>
          <w:szCs w:val="24"/>
        </w:rPr>
        <w:t xml:space="preserve">Plaintiff incorporates by reference all preceding paragraphs as if fully set forth herein.</w:t>
      </w:r>
    </w:p>
    <w:p>
      <w:pPr>
        <w:spacing w:before="0" w:after="160"/>
        <w:ind w:left="720" w:hanging="360"/>
        <w:jc w:val="both"/>
      </w:pPr>
      <w:r>
        <w:rPr>
          <w:rFonts w:ascii="Times New Roman" w:cs="Times New Roman" w:eastAsia="Times New Roman" w:hAnsi="Times New Roman"/>
          <w:b w:val="false"/>
          <w:bCs w:val="false"/>
          <w:sz w:val="24"/>
          <w:szCs w:val="24"/>
        </w:rPr>
        <w:t xml:space="preserve">22.  </w:t>
      </w:r>
      <w:r>
        <w:rPr>
          <w:rFonts w:ascii="Times New Roman" w:cs="Times New Roman" w:eastAsia="Times New Roman" w:hAnsi="Times New Roman"/>
          <w:b w:val="false"/>
          <w:bCs w:val="false"/>
          <w:sz w:val="24"/>
          <w:szCs w:val="24"/>
        </w:rPr>
        <w:t xml:space="preserve">The Confidential Information described herein, including the LogiCore architecture details, internal database designations, and customer data, constitutes trade secrets within the meaning of 18 U.S.C. § 1839(3) and N.Y. Gen. Bus. Law § 39-f.</w:t>
      </w:r>
    </w:p>
    <w:p>
      <w:pPr>
        <w:spacing w:before="0" w:after="160"/>
        <w:ind w:left="720" w:hanging="360"/>
        <w:jc w:val="both"/>
      </w:pPr>
      <w:r>
        <w:rPr>
          <w:rFonts w:ascii="Times New Roman" w:cs="Times New Roman" w:eastAsia="Times New Roman" w:hAnsi="Times New Roman"/>
          <w:b w:val="false"/>
          <w:bCs w:val="false"/>
          <w:sz w:val="24"/>
          <w:szCs w:val="24"/>
        </w:rPr>
        <w:t xml:space="preserve">23.  </w:t>
      </w:r>
      <w:r>
        <w:rPr>
          <w:rFonts w:ascii="Times New Roman" w:cs="Times New Roman" w:eastAsia="Times New Roman" w:hAnsi="Times New Roman"/>
          <w:b w:val="false"/>
          <w:bCs w:val="false"/>
          <w:sz w:val="24"/>
          <w:szCs w:val="24"/>
        </w:rPr>
        <w:t xml:space="preserve">Acme has taken reasonable measures to maintain the secrecy of this information, including execution of the NDA, use of a password-protected secure document portal, and access restrictions on its internal systems.</w:t>
      </w:r>
    </w:p>
    <w:p>
      <w:pPr>
        <w:spacing w:before="0" w:after="160"/>
        <w:ind w:left="720" w:hanging="360"/>
        <w:jc w:val="both"/>
      </w:pPr>
      <w:r>
        <w:rPr>
          <w:rFonts w:ascii="Times New Roman" w:cs="Times New Roman" w:eastAsia="Times New Roman" w:hAnsi="Times New Roman"/>
          <w:b w:val="false"/>
          <w:bCs w:val="false"/>
          <w:sz w:val="24"/>
          <w:szCs w:val="24"/>
        </w:rPr>
        <w:t xml:space="preserve">24.  </w:t>
      </w:r>
      <w:r>
        <w:rPr>
          <w:rFonts w:ascii="Times New Roman" w:cs="Times New Roman" w:eastAsia="Times New Roman" w:hAnsi="Times New Roman"/>
          <w:b w:val="false"/>
          <w:bCs w:val="false"/>
          <w:sz w:val="24"/>
          <w:szCs w:val="24"/>
        </w:rPr>
        <w:t xml:space="preserve">DataStream misappropriated these trade secrets through improper means, specifically through unauthorized access to Acme's secure portal, and has used those trade secrets in furtherance of its commercial interests.</w:t>
      </w:r>
    </w:p>
    <w:p>
      <w:pPr>
        <w:spacing w:before="0" w:after="160"/>
        <w:ind w:left="720" w:hanging="360"/>
        <w:jc w:val="both"/>
      </w:pPr>
      <w:r>
        <w:rPr>
          <w:rFonts w:ascii="Times New Roman" w:cs="Times New Roman" w:eastAsia="Times New Roman" w:hAnsi="Times New Roman"/>
          <w:b w:val="false"/>
          <w:bCs w:val="false"/>
          <w:sz w:val="24"/>
          <w:szCs w:val="24"/>
        </w:rPr>
        <w:t xml:space="preserve">25.  </w:t>
      </w:r>
      <w:r>
        <w:rPr>
          <w:rFonts w:ascii="Times New Roman" w:cs="Times New Roman" w:eastAsia="Times New Roman" w:hAnsi="Times New Roman"/>
          <w:b w:val="false"/>
          <w:bCs w:val="false"/>
          <w:sz w:val="24"/>
          <w:szCs w:val="24"/>
        </w:rPr>
        <w:t xml:space="preserve">DataStream's misappropriation was willful and malicious, entitling Acme to an award of exemplary damages up to two times the actual damages pursuant to 18 U.S.C. § 1836(b)(3)(C).</w:t>
      </w:r>
    </w:p>
    <w:p>
      <w:pPr>
        <w:spacing w:before="200" w:after="120"/>
      </w:pPr>
      <w:r>
        <w:rPr>
          <w:rFonts w:ascii="Times New Roman" w:cs="Times New Roman" w:eastAsia="Times New Roman" w:hAnsi="Times New Roman"/>
          <w:b/>
          <w:bCs/>
          <w:sz w:val="24"/>
          <w:szCs w:val="24"/>
        </w:rPr>
        <w:t xml:space="preserve">COUNT III — Tortious Interference with Business Relations</w:t>
      </w:r>
    </w:p>
    <w:p>
      <w:pPr>
        <w:spacing w:before="0" w:after="160"/>
        <w:ind w:left="720" w:hanging="360"/>
        <w:jc w:val="both"/>
      </w:pPr>
      <w:r>
        <w:rPr>
          <w:rFonts w:ascii="Times New Roman" w:cs="Times New Roman" w:eastAsia="Times New Roman" w:hAnsi="Times New Roman"/>
          <w:b w:val="false"/>
          <w:bCs w:val="false"/>
          <w:sz w:val="24"/>
          <w:szCs w:val="24"/>
        </w:rPr>
        <w:t xml:space="preserve">26.  </w:t>
      </w:r>
      <w:r>
        <w:rPr>
          <w:rFonts w:ascii="Times New Roman" w:cs="Times New Roman" w:eastAsia="Times New Roman" w:hAnsi="Times New Roman"/>
          <w:b w:val="false"/>
          <w:bCs w:val="false"/>
          <w:sz w:val="24"/>
          <w:szCs w:val="24"/>
        </w:rPr>
        <w:t xml:space="preserve">Plaintiff incorporates by reference all preceding paragraphs as if fully set forth herein.</w:t>
      </w:r>
    </w:p>
    <w:p>
      <w:pPr>
        <w:spacing w:before="0" w:after="160"/>
        <w:ind w:left="720" w:hanging="360"/>
        <w:jc w:val="both"/>
      </w:pPr>
      <w:r>
        <w:rPr>
          <w:rFonts w:ascii="Times New Roman" w:cs="Times New Roman" w:eastAsia="Times New Roman" w:hAnsi="Times New Roman"/>
          <w:b w:val="false"/>
          <w:bCs w:val="false"/>
          <w:sz w:val="24"/>
          <w:szCs w:val="24"/>
        </w:rPr>
        <w:t xml:space="preserve">27.  </w:t>
      </w:r>
      <w:r>
        <w:rPr>
          <w:rFonts w:ascii="Times New Roman" w:cs="Times New Roman" w:eastAsia="Times New Roman" w:hAnsi="Times New Roman"/>
          <w:b w:val="false"/>
          <w:bCs w:val="false"/>
          <w:sz w:val="24"/>
          <w:szCs w:val="24"/>
        </w:rPr>
        <w:t xml:space="preserve">Acme had existing business relationships with its enterprise logistics clients, including contractual relationships with at least eleven clients whom DataStream subsequently solicited.</w:t>
      </w:r>
    </w:p>
    <w:p>
      <w:pPr>
        <w:spacing w:before="0" w:after="160"/>
        <w:ind w:left="720" w:hanging="360"/>
        <w:jc w:val="both"/>
      </w:pPr>
      <w:r>
        <w:rPr>
          <w:rFonts w:ascii="Times New Roman" w:cs="Times New Roman" w:eastAsia="Times New Roman" w:hAnsi="Times New Roman"/>
          <w:b w:val="false"/>
          <w:bCs w:val="false"/>
          <w:sz w:val="24"/>
          <w:szCs w:val="24"/>
        </w:rPr>
        <w:t xml:space="preserve">28.  </w:t>
      </w:r>
      <w:r>
        <w:rPr>
          <w:rFonts w:ascii="Times New Roman" w:cs="Times New Roman" w:eastAsia="Times New Roman" w:hAnsi="Times New Roman"/>
          <w:b w:val="false"/>
          <w:bCs w:val="false"/>
          <w:sz w:val="24"/>
          <w:szCs w:val="24"/>
        </w:rPr>
        <w:t xml:space="preserve">DataStream was aware of Acme's client relationships at the time it solicited those clients using information obtained through unauthorized access to Acme's Confidential Information.</w:t>
      </w:r>
    </w:p>
    <w:p>
      <w:pPr>
        <w:spacing w:before="0" w:after="160"/>
        <w:ind w:left="720" w:hanging="360"/>
        <w:jc w:val="both"/>
      </w:pPr>
      <w:r>
        <w:rPr>
          <w:rFonts w:ascii="Times New Roman" w:cs="Times New Roman" w:eastAsia="Times New Roman" w:hAnsi="Times New Roman"/>
          <w:b w:val="false"/>
          <w:bCs w:val="false"/>
          <w:sz w:val="24"/>
          <w:szCs w:val="24"/>
        </w:rPr>
        <w:t xml:space="preserve">29.  </w:t>
      </w:r>
      <w:r>
        <w:rPr>
          <w:rFonts w:ascii="Times New Roman" w:cs="Times New Roman" w:eastAsia="Times New Roman" w:hAnsi="Times New Roman"/>
          <w:b w:val="false"/>
          <w:bCs w:val="false"/>
          <w:sz w:val="24"/>
          <w:szCs w:val="24"/>
        </w:rPr>
        <w:t xml:space="preserve">DataStream's conduct constitutes intentional and improper interference with Acme's business relationships, causing Acme to lose at least $1,200,000 in annual contract revenue.</w:t>
      </w:r>
    </w:p>
    <w:p>
      <w:pPr>
        <w:spacing w:before="240" w:after="160"/>
        <w:jc w:val="center"/>
      </w:pPr>
      <w:r>
        <w:rPr>
          <w:rFonts w:ascii="Times New Roman" w:cs="Times New Roman" w:eastAsia="Times New Roman" w:hAnsi="Times New Roman"/>
          <w:b/>
          <w:bCs/>
          <w:sz w:val="24"/>
          <w:szCs w:val="24"/>
          <w:u w:val="single"/>
        </w:rPr>
        <w:t xml:space="preserve">V.  PRAYER FOR RELIEF</w:t>
      </w:r>
    </w:p>
    <w:p>
      <w:pPr>
        <w:spacing w:before="0" w:after="160"/>
        <w:jc w:val="both"/>
      </w:pPr>
      <w:r>
        <w:rPr>
          <w:rFonts w:ascii="Times New Roman" w:cs="Times New Roman" w:eastAsia="Times New Roman" w:hAnsi="Times New Roman"/>
          <w:sz w:val="24"/>
          <w:szCs w:val="24"/>
        </w:rPr>
        <w:t xml:space="preserve">WHEREFORE, Plaintiff Acme Logistics Inc. respectfully requests that this Court enter judgment in its favor and against Defendant DataStream Analytics Corp. as follows:</w:t>
      </w:r>
    </w:p>
    <w:p>
      <w:pPr>
        <w:spacing w:before="0" w:after="80"/>
      </w:pPr>
      <w:r>
        <w:t xml:space="preserve"/>
      </w:r>
    </w:p>
    <w:p>
      <w:pPr>
        <w:pStyle w:val="ListParagraph"/>
        <w:numPr>
          <w:ilvl w:val="0"/>
          <w:numId w:val="2"/>
        </w:numPr>
      </w:pPr>
      <w:r>
        <w:rPr>
          <w:rFonts w:ascii="Times New Roman" w:cs="Times New Roman" w:eastAsia="Times New Roman" w:hAnsi="Times New Roman"/>
          <w:sz w:val="24"/>
          <w:szCs w:val="24"/>
        </w:rPr>
        <w:t xml:space="preserve">A permanent injunction prohibiting DataStream from (i) using or disclosing any Confidential Information obtained from Acme's portal; (ii) further soliciting Acme's clients using such information; and (iii) incorporating Acme's trade secrets into any DataStream product or service;</w:t>
      </w:r>
    </w:p>
    <w:p>
      <w:pPr>
        <w:pStyle w:val="ListParagraph"/>
        <w:numPr>
          <w:ilvl w:val="0"/>
          <w:numId w:val="2"/>
        </w:numPr>
      </w:pPr>
      <w:r>
        <w:rPr>
          <w:rFonts w:ascii="Times New Roman" w:cs="Times New Roman" w:eastAsia="Times New Roman" w:hAnsi="Times New Roman"/>
          <w:sz w:val="24"/>
          <w:szCs w:val="24"/>
        </w:rPr>
        <w:t xml:space="preserve">Compensatory damages in an amount to be proven at trial, but no less than $4,500,000;</w:t>
      </w:r>
    </w:p>
    <w:p>
      <w:pPr>
        <w:pStyle w:val="ListParagraph"/>
        <w:numPr>
          <w:ilvl w:val="0"/>
          <w:numId w:val="2"/>
        </w:numPr>
      </w:pPr>
      <w:r>
        <w:rPr>
          <w:rFonts w:ascii="Times New Roman" w:cs="Times New Roman" w:eastAsia="Times New Roman" w:hAnsi="Times New Roman"/>
          <w:sz w:val="24"/>
          <w:szCs w:val="24"/>
        </w:rPr>
        <w:t xml:space="preserve">Exemplary damages pursuant to 18 U.S.C. § 1836(b)(3)(C) in an amount up to two times the compensatory damages awarded;</w:t>
      </w:r>
    </w:p>
    <w:p>
      <w:pPr>
        <w:pStyle w:val="ListParagraph"/>
        <w:numPr>
          <w:ilvl w:val="0"/>
          <w:numId w:val="2"/>
        </w:numPr>
      </w:pPr>
      <w:r>
        <w:rPr>
          <w:rFonts w:ascii="Times New Roman" w:cs="Times New Roman" w:eastAsia="Times New Roman" w:hAnsi="Times New Roman"/>
          <w:sz w:val="24"/>
          <w:szCs w:val="24"/>
        </w:rPr>
        <w:t xml:space="preserve">An order requiring DataStream to destroy all copies of Confidential Information and to certify such destruction in writing;</w:t>
      </w:r>
    </w:p>
    <w:p>
      <w:pPr>
        <w:pStyle w:val="ListParagraph"/>
        <w:numPr>
          <w:ilvl w:val="0"/>
          <w:numId w:val="2"/>
        </w:numPr>
      </w:pPr>
      <w:r>
        <w:rPr>
          <w:rFonts w:ascii="Times New Roman" w:cs="Times New Roman" w:eastAsia="Times New Roman" w:hAnsi="Times New Roman"/>
          <w:sz w:val="24"/>
          <w:szCs w:val="24"/>
        </w:rPr>
        <w:t xml:space="preserve">Attorneys' fees and costs pursuant to Article 5.2 of the NDA and 18 U.S.C. § 1836(b)(3)(D);</w:t>
      </w:r>
    </w:p>
    <w:p>
      <w:pPr>
        <w:pStyle w:val="ListParagraph"/>
        <w:numPr>
          <w:ilvl w:val="0"/>
          <w:numId w:val="2"/>
        </w:numPr>
      </w:pPr>
      <w:r>
        <w:rPr>
          <w:rFonts w:ascii="Times New Roman" w:cs="Times New Roman" w:eastAsia="Times New Roman" w:hAnsi="Times New Roman"/>
          <w:sz w:val="24"/>
          <w:szCs w:val="24"/>
        </w:rPr>
        <w:t xml:space="preserve">Pre-judgment and post-judgment interest at the maximum rate permitted by law; and</w:t>
      </w:r>
    </w:p>
    <w:p>
      <w:pPr>
        <w:pStyle w:val="ListParagraph"/>
        <w:numPr>
          <w:ilvl w:val="0"/>
          <w:numId w:val="2"/>
        </w:numPr>
      </w:pPr>
      <w:r>
        <w:rPr>
          <w:rFonts w:ascii="Times New Roman" w:cs="Times New Roman" w:eastAsia="Times New Roman" w:hAnsi="Times New Roman"/>
          <w:sz w:val="24"/>
          <w:szCs w:val="24"/>
        </w:rPr>
        <w:t xml:space="preserve">Such other and further relief as this Court deems just and proper.</w:t>
      </w:r>
    </w:p>
    <w:p>
      <w:pPr>
        <w:spacing w:before="0" w:after="200"/>
      </w:pPr>
      <w:r>
        <w:t xml:space="preserve"/>
      </w:r>
    </w:p>
    <w:p>
      <w:pPr>
        <w:spacing w:before="240" w:after="160"/>
        <w:jc w:val="center"/>
      </w:pPr>
      <w:r>
        <w:rPr>
          <w:rFonts w:ascii="Times New Roman" w:cs="Times New Roman" w:eastAsia="Times New Roman" w:hAnsi="Times New Roman"/>
          <w:b/>
          <w:bCs/>
          <w:sz w:val="24"/>
          <w:szCs w:val="24"/>
          <w:u w:val="single"/>
        </w:rPr>
        <w:t xml:space="preserve">VI.  JURY DEMAND</w:t>
      </w:r>
    </w:p>
    <w:p>
      <w:pPr>
        <w:spacing w:before="0" w:after="160"/>
        <w:ind w:firstLine="720"/>
        <w:jc w:val="both"/>
      </w:pPr>
      <w:r>
        <w:rPr>
          <w:rFonts w:ascii="Times New Roman" w:cs="Times New Roman" w:eastAsia="Times New Roman" w:hAnsi="Times New Roman"/>
          <w:sz w:val="24"/>
          <w:szCs w:val="24"/>
        </w:rPr>
        <w:t xml:space="preserve">Pursuant to Rule 38 of the Federal Rules of Civil Procedure, Plaintiff hereby demands a trial by jury on all issues so triable.</w:t>
      </w:r>
    </w:p>
    <w:p>
      <w:pPr>
        <w:spacing w:before="0" w:after="200"/>
      </w:pPr>
      <w:r>
        <w:t xml:space="preserve"/>
      </w:r>
    </w:p>
    <w:p>
      <w:pPr>
        <w:spacing w:before="0" w:after="120"/>
      </w:pPr>
      <w:r>
        <w:rPr>
          <w:rFonts w:ascii="Times New Roman" w:cs="Times New Roman" w:eastAsia="Times New Roman" w:hAnsi="Times New Roman"/>
          <w:sz w:val="24"/>
          <w:szCs w:val="24"/>
        </w:rPr>
        <w:t xml:space="preserve">Respectfully submitted,</w:t>
      </w:r>
    </w:p>
    <w:p>
      <w:pPr>
        <w:spacing w:before="0" w:after="60"/>
      </w:pPr>
      <w:r>
        <w:rPr>
          <w:rFonts w:ascii="Times New Roman" w:cs="Times New Roman" w:eastAsia="Times New Roman" w:hAnsi="Times New Roman"/>
          <w:sz w:val="24"/>
          <w:szCs w:val="24"/>
        </w:rPr>
        <w:t xml:space="preserve">Dated: April 3, 2024</w:t>
      </w:r>
    </w:p>
    <w:p>
      <w:pPr>
        <w:spacing w:before="0" w:after="200"/>
      </w:pPr>
      <w:r>
        <w:t xml:space="preserve"/>
      </w:r>
    </w:p>
    <w:p>
      <w:pPr>
        <w:spacing w:before="0" w:after="60"/>
      </w:pPr>
      <w:r>
        <w:rPr>
          <w:rFonts w:ascii="Times New Roman" w:cs="Times New Roman" w:eastAsia="Times New Roman" w:hAnsi="Times New Roman"/>
          <w:sz w:val="24"/>
          <w:szCs w:val="24"/>
        </w:rPr>
        <w:t xml:space="preserve">_____________________________________________</w:t>
      </w:r>
    </w:p>
    <w:p>
      <w:pPr>
        <w:spacing w:before="0" w:after="60"/>
      </w:pPr>
      <w:r>
        <w:rPr>
          <w:rFonts w:ascii="Times New Roman" w:cs="Times New Roman" w:eastAsia="Times New Roman" w:hAnsi="Times New Roman"/>
          <w:b/>
          <w:bCs/>
          <w:sz w:val="24"/>
          <w:szCs w:val="24"/>
        </w:rPr>
        <w:t xml:space="preserve">NORTHSTAR COUNSEL LLP</w:t>
      </w:r>
    </w:p>
    <w:p>
      <w:pPr>
        <w:spacing w:before="0" w:after="60"/>
      </w:pPr>
      <w:r>
        <w:rPr>
          <w:rFonts w:ascii="Times New Roman" w:cs="Times New Roman" w:eastAsia="Times New Roman" w:hAnsi="Times New Roman"/>
          <w:sz w:val="24"/>
          <w:szCs w:val="24"/>
        </w:rPr>
        <w:t xml:space="preserve">Margaret L. Ashford</w:t>
      </w:r>
    </w:p>
    <w:p>
      <w:pPr>
        <w:spacing w:before="0" w:after="60"/>
      </w:pPr>
      <w:r>
        <w:rPr>
          <w:rFonts w:ascii="Times New Roman" w:cs="Times New Roman" w:eastAsia="Times New Roman" w:hAnsi="Times New Roman"/>
          <w:sz w:val="24"/>
          <w:szCs w:val="24"/>
        </w:rPr>
        <w:t xml:space="preserve">Managing Partner
200 West 57th Street, Suite 1400
New York, NY 10019
Tel: (212) 555-0192
m.ashford@northstarcounsel.com</w:t>
      </w:r>
    </w:p>
    <w:p>
      <w:pPr>
        <w:spacing w:before="0" w:after="200"/>
      </w:pPr>
      <w:r>
        <w:rPr>
          <w:rFonts w:ascii="Times New Roman" w:cs="Times New Roman" w:eastAsia="Times New Roman" w:hAnsi="Times New Roman"/>
          <w:sz w:val="24"/>
          <w:szCs w:val="24"/>
        </w:rPr>
        <w:t xml:space="preserve">Dated: April 3, 2024</w:t>
      </w:r>
    </w:p>
    <w:p>
      <w:pPr>
        <w:spacing w:before="0" w:after="60"/>
      </w:pPr>
      <w:r>
        <w:rPr>
          <w:rFonts w:ascii="Times New Roman" w:cs="Times New Roman" w:eastAsia="Times New Roman" w:hAnsi="Times New Roman"/>
          <w:sz w:val="24"/>
          <w:szCs w:val="24"/>
        </w:rPr>
        <w:t xml:space="preserve">_____________________________________________</w:t>
      </w:r>
    </w:p>
    <w:p>
      <w:pPr>
        <w:spacing w:before="0" w:after="60"/>
      </w:pPr>
      <w:r>
        <w:rPr>
          <w:rFonts w:ascii="Times New Roman" w:cs="Times New Roman" w:eastAsia="Times New Roman" w:hAnsi="Times New Roman"/>
          <w:b/>
          <w:bCs/>
          <w:sz w:val="24"/>
          <w:szCs w:val="24"/>
        </w:rPr>
        <w:t xml:space="preserve">Of Counsel:</w:t>
      </w:r>
    </w:p>
    <w:p>
      <w:pPr>
        <w:spacing w:before="0" w:after="60"/>
      </w:pPr>
      <w:r>
        <w:rPr>
          <w:rFonts w:ascii="Times New Roman" w:cs="Times New Roman" w:eastAsia="Times New Roman" w:hAnsi="Times New Roman"/>
          <w:sz w:val="24"/>
          <w:szCs w:val="24"/>
        </w:rPr>
        <w:t xml:space="preserve">Daniel Cho</w:t>
      </w:r>
    </w:p>
    <w:p>
      <w:pPr>
        <w:spacing w:before="0" w:after="60"/>
      </w:pPr>
      <w:r>
        <w:rPr>
          <w:rFonts w:ascii="Times New Roman" w:cs="Times New Roman" w:eastAsia="Times New Roman" w:hAnsi="Times New Roman"/>
          <w:sz w:val="24"/>
          <w:szCs w:val="24"/>
        </w:rPr>
        <w:t xml:space="preserve">Associate Attorney
Northstar Counsel LLP</w:t>
      </w:r>
    </w:p>
    <w:p>
      <w:pPr>
        <w:spacing w:before="0" w:after="200"/>
      </w:pPr>
      <w:r>
        <w:rPr>
          <w:rFonts w:ascii="Times New Roman" w:cs="Times New Roman" w:eastAsia="Times New Roman" w:hAnsi="Times New Roman"/>
          <w:sz w:val="24"/>
          <w:szCs w:val="24"/>
        </w:rPr>
        <w:t xml:space="preserve">Dated: April 3, 2024</w:t>
      </w:r>
    </w:p>
    <w:p>
      <w:pPr>
        <w:spacing w:before="0" w:after="200"/>
      </w:pPr>
      <w:r>
        <w:t xml:space="preserve"/>
      </w:r>
    </w:p>
    <w:p>
      <w:pPr>
        <w:pBdr>
          <w:top w:val="single" w:color="000000" w:sz="6" w:space="8"/>
        </w:pBdr>
        <w:spacing w:before="240" w:after="160"/>
        <w:jc w:val="center"/>
      </w:pPr>
      <w:r>
        <w:rPr>
          <w:rFonts w:ascii="Times New Roman" w:cs="Times New Roman" w:eastAsia="Times New Roman" w:hAnsi="Times New Roman"/>
          <w:b/>
          <w:bCs/>
          <w:sz w:val="24"/>
          <w:szCs w:val="24"/>
        </w:rPr>
        <w:t xml:space="preserve">CERTIFICATE OF SERVICE</w:t>
      </w:r>
    </w:p>
    <w:p>
      <w:pPr>
        <w:spacing w:before="0" w:after="160"/>
        <w:ind w:firstLine="720"/>
        <w:jc w:val="both"/>
      </w:pPr>
      <w:r>
        <w:rPr>
          <w:rFonts w:ascii="Times New Roman" w:cs="Times New Roman" w:eastAsia="Times New Roman" w:hAnsi="Times New Roman"/>
          <w:sz w:val="24"/>
          <w:szCs w:val="24"/>
        </w:rPr>
        <w:t xml:space="preserve">I hereby certify that on April 3, 2024, a true and correct copy of the foregoing Complaint was filed with the Clerk of Court using the CM/ECF system, which will send notification of such filing to all counsel of record.</w:t>
      </w:r>
    </w:p>
    <w:p>
      <w:pPr>
        <w:spacing w:before="0" w:after="200"/>
      </w:pPr>
      <w:r>
        <w:t xml:space="preserve"/>
      </w:r>
    </w:p>
    <w:p>
      <w:pPr>
        <w:spacing w:before="0" w:after="60"/>
      </w:pPr>
      <w:r>
        <w:rPr>
          <w:rFonts w:ascii="Times New Roman" w:cs="Times New Roman" w:eastAsia="Times New Roman" w:hAnsi="Times New Roman"/>
          <w:sz w:val="24"/>
          <w:szCs w:val="24"/>
        </w:rPr>
        <w:t xml:space="preserve">_____________________________________________</w:t>
      </w:r>
    </w:p>
    <w:p>
      <w:pPr>
        <w:spacing w:before="0" w:after="60"/>
      </w:pPr>
      <w:r>
        <w:rPr>
          <w:rFonts w:ascii="Times New Roman" w:cs="Times New Roman" w:eastAsia="Times New Roman" w:hAnsi="Times New Roman"/>
          <w:b/>
          <w:bCs/>
          <w:sz w:val="24"/>
          <w:szCs w:val="24"/>
        </w:rPr>
        <w:t xml:space="preserve"/>
      </w:r>
    </w:p>
    <w:p>
      <w:pPr>
        <w:spacing w:before="0" w:after="60"/>
      </w:pPr>
      <w:r>
        <w:rPr>
          <w:rFonts w:ascii="Times New Roman" w:cs="Times New Roman" w:eastAsia="Times New Roman" w:hAnsi="Times New Roman"/>
          <w:sz w:val="24"/>
          <w:szCs w:val="24"/>
        </w:rPr>
        <w:t xml:space="preserve">Daniel Cho</w:t>
      </w:r>
    </w:p>
    <w:p>
      <w:pPr>
        <w:spacing w:before="0" w:after="60"/>
      </w:pPr>
      <w:r>
        <w:rPr>
          <w:rFonts w:ascii="Times New Roman" w:cs="Times New Roman" w:eastAsia="Times New Roman" w:hAnsi="Times New Roman"/>
          <w:sz w:val="24"/>
          <w:szCs w:val="24"/>
        </w:rPr>
        <w:t xml:space="preserve">Northstar Counsel LLP</w:t>
      </w:r>
    </w:p>
    <w:p>
      <w:pPr>
        <w:spacing w:before="0" w:after="200"/>
      </w:pPr>
      <w:r>
        <w:rPr>
          <w:rFonts w:ascii="Times New Roman" w:cs="Times New Roman" w:eastAsia="Times New Roman" w:hAnsi="Times New Roman"/>
          <w:sz w:val="24"/>
          <w:szCs w:val="24"/>
        </w:rPr>
        <w:t xml:space="preserve">Dated: April 3, 2024</w:t>
      </w:r>
    </w:p>
    <w:sectPr>
      <w:headerReference w:type="default" r:id="rId6"/>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8"/>
      </w:pBd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8"/>
      </w:pBdr>
      <w:tabs>
        <w:tab w:val="right" w:pos="9026"/>
      </w:tabs>
      <w:spacing w:after="80"/>
    </w:pPr>
    <w:r>
      <w:rPr>
        <w:rFonts w:ascii="Times New Roman" w:cs="Times New Roman" w:eastAsia="Times New Roman" w:hAnsi="Times New Roman"/>
        <w:i/>
        <w:iCs/>
        <w:sz w:val="20"/>
        <w:szCs w:val="20"/>
      </w:rPr>
      <w:t xml:space="preserve">Acme Logistics Inc. v. DataStream Analytics Corp.</w:t>
    </w:r>
    <w:r>
      <w:rPr>
        <w:rFonts w:ascii="Times New Roman" w:cs="Times New Roman" w:eastAsia="Times New Roman" w:hAnsi="Times New Roman"/>
        <w:i/>
        <w:iCs/>
        <w:sz w:val="20"/>
        <w:szCs w:val="20"/>
      </w:rPr>
      <w:t xml:space="preserve">	Case No. 1:24-cv-03871-JSR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spacing w:after="12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2026-03-30T11:08:27.199Z</dcterms:created>
  <dcterms:modified xsi:type="dcterms:W3CDTF">2026-03-30T11:08:27.200Z</dcterms:modified>
</cp:coreProperties>
</file>

<file path=docProps/custom.xml><?xml version="1.0" encoding="utf-8"?>
<Properties xmlns="http://schemas.openxmlformats.org/officeDocument/2006/custom-properties" xmlns:vt="http://schemas.openxmlformats.org/officeDocument/2006/docPropsVTypes"/>
</file>