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9C" w:rsidRPr="008D619F" w:rsidRDefault="005C6C99" w:rsidP="00BD2F39">
      <w:pPr>
        <w:snapToGrid w:val="0"/>
        <w:rPr>
          <w:rFonts w:ascii="Arial" w:eastAsia="標楷體" w:hAnsi="Arial" w:cs="Arial"/>
          <w:b/>
          <w:iCs/>
          <w:sz w:val="28"/>
          <w:szCs w:val="32"/>
          <w:bdr w:val="single" w:sz="4" w:space="0" w:color="auto"/>
          <w:shd w:val="pct15" w:color="auto" w:fill="FFFFFF"/>
        </w:rPr>
      </w:pPr>
      <w:r w:rsidRPr="008D619F">
        <w:rPr>
          <w:rFonts w:ascii="Arial" w:eastAsia="標楷體" w:hAnsi="Arial" w:cs="Arial"/>
          <w:b/>
          <w:iCs/>
          <w:sz w:val="28"/>
          <w:szCs w:val="32"/>
          <w:bdr w:val="single" w:sz="4" w:space="0" w:color="auto"/>
          <w:shd w:val="pct15" w:color="auto" w:fill="FFFFFF"/>
        </w:rPr>
        <w:t xml:space="preserve"> </w:t>
      </w:r>
      <w:r w:rsidR="008D619F">
        <w:rPr>
          <w:rFonts w:ascii="Arial" w:eastAsia="標楷體" w:hAnsi="Arial" w:cs="Arial" w:hint="eastAsia"/>
          <w:b/>
          <w:iCs/>
          <w:sz w:val="28"/>
          <w:szCs w:val="32"/>
          <w:bdr w:val="single" w:sz="4" w:space="0" w:color="auto"/>
          <w:shd w:val="pct15" w:color="auto" w:fill="FFFFFF"/>
        </w:rPr>
        <w:t>計畫</w:t>
      </w:r>
      <w:r w:rsidR="00957C9C" w:rsidRPr="008D619F">
        <w:rPr>
          <w:rFonts w:ascii="Arial" w:eastAsia="標楷體" w:hAnsi="Arial" w:cs="Arial"/>
          <w:b/>
          <w:iCs/>
          <w:sz w:val="28"/>
          <w:szCs w:val="32"/>
          <w:bdr w:val="single" w:sz="4" w:space="0" w:color="auto"/>
          <w:shd w:val="pct15" w:color="auto" w:fill="FFFFFF"/>
        </w:rPr>
        <w:t>需求表</w:t>
      </w:r>
    </w:p>
    <w:p w:rsidR="00FB799E" w:rsidRPr="008D619F" w:rsidRDefault="00FB799E">
      <w:pPr>
        <w:rPr>
          <w:rFonts w:ascii="Arial" w:eastAsia="標楷體" w:hAnsi="Arial" w:cs="Arial"/>
        </w:rPr>
      </w:pPr>
    </w:p>
    <w:tbl>
      <w:tblPr>
        <w:tblW w:w="11125" w:type="dxa"/>
        <w:jc w:val="center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8"/>
        <w:gridCol w:w="1669"/>
        <w:gridCol w:w="2307"/>
        <w:gridCol w:w="843"/>
        <w:gridCol w:w="1160"/>
        <w:gridCol w:w="1158"/>
        <w:gridCol w:w="2960"/>
      </w:tblGrid>
      <w:tr w:rsidR="008D619F" w:rsidRPr="008D619F" w:rsidTr="008D619F">
        <w:trPr>
          <w:trHeight w:val="850"/>
          <w:tblHeader/>
          <w:jc w:val="center"/>
        </w:trPr>
        <w:tc>
          <w:tcPr>
            <w:tcW w:w="1028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內容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數量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單價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網站開發與建置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網站首頁資料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首頁資料建置與處理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網頁介面設計、功能開發、子單元資料建置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網站首頁與單元設計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網站首頁及單元頁美術設計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網站首頁形象與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Banner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設計、以及各單元頁美術設計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FB79C8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EB4C47">
              <w:rPr>
                <w:rFonts w:ascii="Arial" w:eastAsia="微軟正黑體" w:hAnsi="Arial" w:cs="Arial" w:hint="eastAsia"/>
                <w:color w:val="000000"/>
                <w:kern w:val="0"/>
                <w:sz w:val="22"/>
                <w:szCs w:val="22"/>
              </w:rPr>
              <w:t>「</w:t>
            </w:r>
            <w:bookmarkStart w:id="0" w:name="_GoBack"/>
            <w:bookmarkEnd w:id="0"/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響應式</w:t>
            </w:r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(RWD)</w:t>
            </w:r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」網頁與功能列表設計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FB79C8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EB4C47">
              <w:rPr>
                <w:rFonts w:ascii="Arial" w:eastAsia="微軟正黑體" w:hAnsi="Arial" w:cs="Arial" w:hint="eastAsia"/>
                <w:color w:val="000000"/>
                <w:kern w:val="0"/>
                <w:sz w:val="22"/>
                <w:szCs w:val="22"/>
              </w:rPr>
              <w:t>「</w:t>
            </w:r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響應式</w:t>
            </w:r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 xml:space="preserve"> (RWD)</w:t>
            </w:r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」網頁設與功能列表美術設計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網站所有頁面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採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RWD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方式設計、包含各種功能列表與按鈕設計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後台內容發布與管理功能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各單元後台發布功能建置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系統開發、基礎運算、資料庫設計、權限建置、後台功能建置、上下架管理功能、會員資料管理功能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網站資料上架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網站內容資料上架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網站資料內容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(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包含照片與文字資料收集整理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)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上架至網頁</w:t>
            </w:r>
            <w:proofErr w:type="gramEnd"/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資安建置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、主機備份、備援機制及保固維護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備份、備援機制與保固建置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0E3558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網站建置需符合行政院資訊安全規範</w:t>
            </w:r>
            <w:r w:rsidR="008D619F"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，一年保固</w:t>
            </w:r>
            <w:r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維護</w:t>
            </w:r>
            <w:r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(</w:t>
            </w:r>
            <w:r w:rsidR="00147F94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自</w:t>
            </w:r>
            <w:r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驗收合格日起</w:t>
            </w:r>
            <w:r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開發與建置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介面及單元頁設計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系統介面及單元頁美術設計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介面及形象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Banner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設計以及各單元頁美術設計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程式開發與測試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iOS/Android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系統程式語言、行動裝置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偵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錯、除錯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系統程式語言、行動裝置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偵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錯、除錯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系統資料處理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系統與相關資料建置處理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景點介紹、活動推播、交通指引、會員優惠及相關訊息定期更新等資料建置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後台內容發布與管理功能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各單元後台發布功能建置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資料庫設計、權限建置、後台功能建置、上下架管理功能、會員資料管理功能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版本維護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iOS/Android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行動系統更新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APP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版本維護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 w:val="restart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泰安鄉圖文建置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泰安鄉導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覽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資料建立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泰安鄉文化、觀光、農產、部落發展、自然生態等資料建立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導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覽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資料更新及調查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泰安鄉導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覽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資料相片、影片拍攝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泰安鄉內人文、自然風景、特色景點之相片及影片拍攝，或其他來源、創作者照片刊載之使用權利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導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覽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資料更新及調查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觀光資訊彙整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收集、彙整及建立泰安鄉內觀光、工藝產業及農特產等相關資訊與相片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圖檔集</w:t>
            </w:r>
            <w:proofErr w:type="gramEnd"/>
          </w:p>
        </w:tc>
        <w:tc>
          <w:tcPr>
            <w:tcW w:w="843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導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覽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資料更新及調查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行銷推廣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網路廣告及圖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文廣編稿</w:t>
            </w:r>
            <w:proofErr w:type="gramEnd"/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網路廣告及圖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文廣編稿</w:t>
            </w:r>
            <w:proofErr w:type="gramEnd"/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網路廣告投放至少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4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週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次，總曝光數須達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300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萬曝光次數；圖</w:t>
            </w:r>
            <w:proofErr w:type="gramStart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文廣編稿須</w:t>
            </w:r>
            <w:proofErr w:type="gramEnd"/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刊登於專業媒體新聞網站平台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系統教育訓練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系統教育訓練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系統教育訓練事務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系統結案教育訓練相關文件與事務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雜支費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雜支費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(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含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5%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營業稅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8D619F" w:rsidRPr="008D619F" w:rsidRDefault="00BB3485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結案光碟</w:t>
            </w:r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(6</w:t>
            </w:r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份</w:t>
            </w:r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)</w:t>
            </w:r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、行政文書、會議便當、營業稅等，以及其他費用不足</w:t>
            </w:r>
            <w:proofErr w:type="gramStart"/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支應時雜支</w:t>
            </w:r>
            <w:proofErr w:type="gramEnd"/>
          </w:p>
        </w:tc>
        <w:tc>
          <w:tcPr>
            <w:tcW w:w="843" w:type="dxa"/>
            <w:vMerge w:val="restart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1</w:t>
            </w:r>
            <w:r w:rsidRPr="008D619F">
              <w:rPr>
                <w:rFonts w:ascii="Arial" w:eastAsia="標楷體" w:hAnsi="Arial" w:cs="Arial"/>
                <w:color w:val="000000"/>
                <w:kern w:val="0"/>
                <w:szCs w:val="24"/>
              </w:rPr>
              <w:t>式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vMerge w:val="restart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vMerge w:val="restart"/>
            <w:shd w:val="clear" w:color="auto" w:fill="auto"/>
            <w:vAlign w:val="center"/>
            <w:hideMark/>
          </w:tcPr>
          <w:p w:rsidR="008D619F" w:rsidRPr="008D619F" w:rsidRDefault="00BB3485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BB3485">
              <w:rPr>
                <w:rFonts w:ascii="Arial" w:eastAsia="標楷體" w:hAnsi="Arial" w:cs="Arial" w:hint="eastAsia"/>
                <w:color w:val="000000"/>
                <w:kern w:val="0"/>
                <w:szCs w:val="24"/>
              </w:rPr>
              <w:t>召開臨時工作會議討論及檢視工作進度與成果資料</w:t>
            </w: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1028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307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843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60" w:type="dxa"/>
            <w:vMerge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vMerge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vMerge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</w:tr>
      <w:tr w:rsidR="008D619F" w:rsidRPr="008D619F" w:rsidTr="008D619F">
        <w:trPr>
          <w:trHeight w:val="964"/>
          <w:jc w:val="center"/>
        </w:trPr>
        <w:tc>
          <w:tcPr>
            <w:tcW w:w="5847" w:type="dxa"/>
            <w:gridSpan w:val="4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center"/>
              <w:rPr>
                <w:rFonts w:ascii="Arial" w:eastAsia="標楷體" w:hAnsi="Arial" w:cs="Arial"/>
                <w:b/>
                <w:color w:val="000000"/>
                <w:kern w:val="0"/>
                <w:szCs w:val="24"/>
              </w:rPr>
            </w:pP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合</w:t>
            </w: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 xml:space="preserve"> </w:t>
            </w:r>
            <w:r w:rsidRPr="008D619F">
              <w:rPr>
                <w:rFonts w:ascii="Arial" w:eastAsia="標楷體" w:hAnsi="Arial" w:cs="Arial"/>
                <w:b/>
                <w:bCs/>
                <w:color w:val="000000"/>
                <w:kern w:val="0"/>
                <w:szCs w:val="24"/>
              </w:rPr>
              <w:t>計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:rsidR="008D619F" w:rsidRPr="008D619F" w:rsidRDefault="008D619F" w:rsidP="003C7476">
            <w:pPr>
              <w:widowControl/>
              <w:snapToGrid w:val="0"/>
              <w:jc w:val="right"/>
              <w:rPr>
                <w:rFonts w:ascii="Arial" w:eastAsia="標楷體" w:hAnsi="Arial" w:cs="Arial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8D619F" w:rsidRPr="008D619F" w:rsidRDefault="008D619F" w:rsidP="003C7476">
            <w:pPr>
              <w:widowControl/>
              <w:snapToGrid w:val="0"/>
              <w:jc w:val="both"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</w:tr>
    </w:tbl>
    <w:p w:rsidR="00A46536" w:rsidRPr="008D619F" w:rsidRDefault="00A46536">
      <w:pPr>
        <w:rPr>
          <w:rFonts w:ascii="Arial" w:eastAsia="標楷體" w:hAnsi="Arial" w:cs="Arial"/>
        </w:rPr>
      </w:pPr>
    </w:p>
    <w:sectPr w:rsidR="00A46536" w:rsidRPr="008D619F" w:rsidSect="00A4653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AE4" w:rsidRDefault="00F97AE4" w:rsidP="00841BC7">
      <w:r>
        <w:separator/>
      </w:r>
    </w:p>
  </w:endnote>
  <w:endnote w:type="continuationSeparator" w:id="0">
    <w:p w:rsidR="00F97AE4" w:rsidRDefault="00F97AE4" w:rsidP="0084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AE4" w:rsidRDefault="00F97AE4" w:rsidP="00841BC7">
      <w:r>
        <w:separator/>
      </w:r>
    </w:p>
  </w:footnote>
  <w:footnote w:type="continuationSeparator" w:id="0">
    <w:p w:rsidR="00F97AE4" w:rsidRDefault="00F97AE4" w:rsidP="00841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765"/>
    <w:multiLevelType w:val="hybridMultilevel"/>
    <w:tmpl w:val="A4F01D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78398D"/>
    <w:multiLevelType w:val="hybridMultilevel"/>
    <w:tmpl w:val="457059E4"/>
    <w:lvl w:ilvl="0" w:tplc="98462B4E">
      <w:start w:val="1"/>
      <w:numFmt w:val="taiwaneseCountingThousand"/>
      <w:lvlText w:val="%1、"/>
      <w:lvlJc w:val="left"/>
      <w:pPr>
        <w:tabs>
          <w:tab w:val="num" w:pos="862"/>
        </w:tabs>
        <w:ind w:left="862" w:hanging="720"/>
      </w:pPr>
    </w:lvl>
    <w:lvl w:ilvl="1" w:tplc="CFB87556">
      <w:start w:val="1"/>
      <w:numFmt w:val="taiwaneseCountingThousand"/>
      <w:lvlText w:val="(%2)"/>
      <w:lvlJc w:val="left"/>
      <w:pPr>
        <w:tabs>
          <w:tab w:val="num" w:pos="-368"/>
        </w:tabs>
        <w:ind w:left="-368" w:hanging="450"/>
      </w:pPr>
    </w:lvl>
    <w:lvl w:ilvl="2" w:tplc="FE5A5F70">
      <w:start w:val="1"/>
      <w:numFmt w:val="decimal"/>
      <w:lvlText w:val="%3."/>
      <w:lvlJc w:val="left"/>
      <w:pPr>
        <w:ind w:left="22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B660FF"/>
    <w:multiLevelType w:val="hybridMultilevel"/>
    <w:tmpl w:val="A4F01D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A2"/>
    <w:rsid w:val="000B7136"/>
    <w:rsid w:val="000E3558"/>
    <w:rsid w:val="00111C1B"/>
    <w:rsid w:val="00142456"/>
    <w:rsid w:val="00147F94"/>
    <w:rsid w:val="001A04A8"/>
    <w:rsid w:val="00241989"/>
    <w:rsid w:val="00250B50"/>
    <w:rsid w:val="0026202B"/>
    <w:rsid w:val="002C682A"/>
    <w:rsid w:val="00307CD1"/>
    <w:rsid w:val="0032068D"/>
    <w:rsid w:val="00352F0E"/>
    <w:rsid w:val="00360CB6"/>
    <w:rsid w:val="0041501E"/>
    <w:rsid w:val="004579CB"/>
    <w:rsid w:val="004D76AA"/>
    <w:rsid w:val="004E392A"/>
    <w:rsid w:val="004F7DEB"/>
    <w:rsid w:val="00514CFD"/>
    <w:rsid w:val="00540B40"/>
    <w:rsid w:val="005C6C99"/>
    <w:rsid w:val="005F2E26"/>
    <w:rsid w:val="00600F5F"/>
    <w:rsid w:val="00652967"/>
    <w:rsid w:val="006D0A23"/>
    <w:rsid w:val="00702AD6"/>
    <w:rsid w:val="00720527"/>
    <w:rsid w:val="0078759C"/>
    <w:rsid w:val="007A029F"/>
    <w:rsid w:val="00807BA2"/>
    <w:rsid w:val="00807F5D"/>
    <w:rsid w:val="00823D8A"/>
    <w:rsid w:val="0084129B"/>
    <w:rsid w:val="00841BC7"/>
    <w:rsid w:val="008D619F"/>
    <w:rsid w:val="008E4128"/>
    <w:rsid w:val="00931843"/>
    <w:rsid w:val="00942215"/>
    <w:rsid w:val="00957C9C"/>
    <w:rsid w:val="009B59B4"/>
    <w:rsid w:val="009D514C"/>
    <w:rsid w:val="009E3C5B"/>
    <w:rsid w:val="009F18E3"/>
    <w:rsid w:val="00A46536"/>
    <w:rsid w:val="00A80517"/>
    <w:rsid w:val="00AB3168"/>
    <w:rsid w:val="00AB5118"/>
    <w:rsid w:val="00B35095"/>
    <w:rsid w:val="00B414F2"/>
    <w:rsid w:val="00B46335"/>
    <w:rsid w:val="00BB3485"/>
    <w:rsid w:val="00BB34A5"/>
    <w:rsid w:val="00BD2F39"/>
    <w:rsid w:val="00BF3E34"/>
    <w:rsid w:val="00C83807"/>
    <w:rsid w:val="00D81206"/>
    <w:rsid w:val="00D94892"/>
    <w:rsid w:val="00D955BE"/>
    <w:rsid w:val="00DA734F"/>
    <w:rsid w:val="00DB73E8"/>
    <w:rsid w:val="00E34253"/>
    <w:rsid w:val="00E62B73"/>
    <w:rsid w:val="00E70111"/>
    <w:rsid w:val="00E810EB"/>
    <w:rsid w:val="00EB6B51"/>
    <w:rsid w:val="00F53DB8"/>
    <w:rsid w:val="00F97AE4"/>
    <w:rsid w:val="00FB799E"/>
    <w:rsid w:val="00FB79C8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76AA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AB5118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1BC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841BC7"/>
    <w:rPr>
      <w:kern w:val="2"/>
    </w:rPr>
  </w:style>
  <w:style w:type="paragraph" w:styleId="a5">
    <w:name w:val="footer"/>
    <w:basedOn w:val="a"/>
    <w:link w:val="a6"/>
    <w:rsid w:val="00841BC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841BC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76AA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AB5118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1BC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841BC7"/>
    <w:rPr>
      <w:kern w:val="2"/>
    </w:rPr>
  </w:style>
  <w:style w:type="paragraph" w:styleId="a5">
    <w:name w:val="footer"/>
    <w:basedOn w:val="a"/>
    <w:link w:val="a6"/>
    <w:rsid w:val="00841BC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841BC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170</Words>
  <Characters>971</Characters>
  <Application>Microsoft Office Word</Application>
  <DocSecurity>0</DocSecurity>
  <Lines>8</Lines>
  <Paragraphs>2</Paragraphs>
  <ScaleCrop>false</ScaleCrop>
  <Company>user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泰安鄉天狗部落泰雅文化彩繪計畫活動需求表</dc:title>
  <dc:subject/>
  <dc:creator>user</dc:creator>
  <cp:keywords/>
  <dc:description/>
  <cp:lastModifiedBy>user</cp:lastModifiedBy>
  <cp:revision>10</cp:revision>
  <cp:lastPrinted>2020-10-20T08:29:00Z</cp:lastPrinted>
  <dcterms:created xsi:type="dcterms:W3CDTF">2020-10-11T10:42:00Z</dcterms:created>
  <dcterms:modified xsi:type="dcterms:W3CDTF">2020-11-17T00:25:00Z</dcterms:modified>
</cp:coreProperties>
</file>